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70E" w:rsidRDefault="0022470E" w:rsidP="0022470E">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Красинский Владислав Вячеславович,</w:t>
      </w:r>
    </w:p>
    <w:p w:rsidR="0022470E" w:rsidRDefault="004963CC" w:rsidP="0022470E">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доктор юридических наук, доцент</w:t>
      </w:r>
    </w:p>
    <w:p w:rsidR="00DE4A1F" w:rsidRDefault="00DE4A1F" w:rsidP="00504115">
      <w:pPr>
        <w:spacing w:after="0" w:line="240" w:lineRule="auto"/>
        <w:jc w:val="center"/>
        <w:rPr>
          <w:rFonts w:ascii="Times New Roman" w:hAnsi="Times New Roman" w:cs="Times New Roman"/>
          <w:b/>
          <w:sz w:val="28"/>
          <w:szCs w:val="28"/>
        </w:rPr>
      </w:pPr>
    </w:p>
    <w:p w:rsidR="00DE4A1F" w:rsidRDefault="00DE4A1F" w:rsidP="00504115">
      <w:pPr>
        <w:spacing w:after="0" w:line="240" w:lineRule="auto"/>
        <w:jc w:val="center"/>
        <w:rPr>
          <w:rFonts w:ascii="Times New Roman" w:hAnsi="Times New Roman" w:cs="Times New Roman"/>
          <w:b/>
          <w:sz w:val="28"/>
          <w:szCs w:val="28"/>
        </w:rPr>
      </w:pPr>
    </w:p>
    <w:p w:rsidR="00504115" w:rsidRDefault="009B26C8" w:rsidP="005041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Российские</w:t>
      </w:r>
      <w:r w:rsidR="00344711">
        <w:rPr>
          <w:rFonts w:ascii="Times New Roman" w:hAnsi="Times New Roman" w:cs="Times New Roman"/>
          <w:b/>
          <w:sz w:val="28"/>
          <w:szCs w:val="28"/>
        </w:rPr>
        <w:t xml:space="preserve"> </w:t>
      </w:r>
      <w:r>
        <w:rPr>
          <w:rFonts w:ascii="Times New Roman" w:hAnsi="Times New Roman" w:cs="Times New Roman"/>
          <w:b/>
          <w:sz w:val="28"/>
          <w:szCs w:val="28"/>
        </w:rPr>
        <w:t xml:space="preserve">и международные </w:t>
      </w:r>
      <w:r w:rsidR="002E6D2E">
        <w:rPr>
          <w:rFonts w:ascii="Times New Roman" w:hAnsi="Times New Roman" w:cs="Times New Roman"/>
          <w:b/>
          <w:sz w:val="28"/>
          <w:szCs w:val="28"/>
        </w:rPr>
        <w:t>методик</w:t>
      </w:r>
      <w:r>
        <w:rPr>
          <w:rFonts w:ascii="Times New Roman" w:hAnsi="Times New Roman" w:cs="Times New Roman"/>
          <w:b/>
          <w:sz w:val="28"/>
          <w:szCs w:val="28"/>
        </w:rPr>
        <w:t>и</w:t>
      </w:r>
      <w:r w:rsidR="002E6D2E">
        <w:rPr>
          <w:rFonts w:ascii="Times New Roman" w:hAnsi="Times New Roman" w:cs="Times New Roman"/>
          <w:b/>
          <w:sz w:val="28"/>
          <w:szCs w:val="28"/>
        </w:rPr>
        <w:t xml:space="preserve"> оценки финансовой устойчивости </w:t>
      </w:r>
      <w:r w:rsidR="00344711">
        <w:rPr>
          <w:rFonts w:ascii="Times New Roman" w:hAnsi="Times New Roman" w:cs="Times New Roman"/>
          <w:b/>
          <w:sz w:val="28"/>
          <w:szCs w:val="28"/>
        </w:rPr>
        <w:t>системообразующи</w:t>
      </w:r>
      <w:r w:rsidR="002E6D2E">
        <w:rPr>
          <w:rFonts w:ascii="Times New Roman" w:hAnsi="Times New Roman" w:cs="Times New Roman"/>
          <w:b/>
          <w:sz w:val="28"/>
          <w:szCs w:val="28"/>
        </w:rPr>
        <w:t>х</w:t>
      </w:r>
      <w:r w:rsidR="00344711">
        <w:rPr>
          <w:rFonts w:ascii="Times New Roman" w:hAnsi="Times New Roman" w:cs="Times New Roman"/>
          <w:b/>
          <w:sz w:val="28"/>
          <w:szCs w:val="28"/>
        </w:rPr>
        <w:t xml:space="preserve"> организаци</w:t>
      </w:r>
      <w:r w:rsidR="002E6D2E">
        <w:rPr>
          <w:rFonts w:ascii="Times New Roman" w:hAnsi="Times New Roman" w:cs="Times New Roman"/>
          <w:b/>
          <w:sz w:val="28"/>
          <w:szCs w:val="28"/>
        </w:rPr>
        <w:t xml:space="preserve">й и стратегических обществ </w:t>
      </w:r>
    </w:p>
    <w:p w:rsidR="009B26C8" w:rsidRDefault="009B26C8" w:rsidP="00504115">
      <w:pPr>
        <w:spacing w:after="0" w:line="240" w:lineRule="auto"/>
        <w:jc w:val="center"/>
        <w:rPr>
          <w:rFonts w:ascii="Times New Roman" w:hAnsi="Times New Roman" w:cs="Times New Roman"/>
          <w:b/>
          <w:sz w:val="28"/>
          <w:szCs w:val="28"/>
        </w:rPr>
      </w:pPr>
    </w:p>
    <w:p w:rsidR="00D9088A" w:rsidRDefault="00D9088A" w:rsidP="00504115">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Russian and international methods for assessing the financial </w:t>
      </w:r>
      <w:r w:rsidR="00A32D2F">
        <w:rPr>
          <w:rFonts w:ascii="Times New Roman" w:hAnsi="Times New Roman" w:cs="Times New Roman"/>
          <w:b/>
          <w:sz w:val="28"/>
          <w:szCs w:val="28"/>
          <w:lang w:val="en-US"/>
        </w:rPr>
        <w:t>sustain</w:t>
      </w:r>
      <w:r>
        <w:rPr>
          <w:rFonts w:ascii="Times New Roman" w:hAnsi="Times New Roman" w:cs="Times New Roman"/>
          <w:b/>
          <w:sz w:val="28"/>
          <w:szCs w:val="28"/>
          <w:lang w:val="en-US"/>
        </w:rPr>
        <w:t xml:space="preserve">ability of </w:t>
      </w:r>
      <w:bookmarkStart w:id="0" w:name="_GoBack"/>
      <w:bookmarkEnd w:id="0"/>
      <w:r>
        <w:rPr>
          <w:rFonts w:ascii="Times New Roman" w:hAnsi="Times New Roman" w:cs="Times New Roman"/>
          <w:b/>
          <w:sz w:val="28"/>
          <w:szCs w:val="28"/>
          <w:lang w:val="en-US"/>
        </w:rPr>
        <w:t>systemically important organizations and strategic societies</w:t>
      </w:r>
    </w:p>
    <w:p w:rsidR="00D9088A" w:rsidRDefault="00D9088A" w:rsidP="00504115">
      <w:pPr>
        <w:spacing w:after="0" w:line="240" w:lineRule="auto"/>
        <w:jc w:val="center"/>
        <w:rPr>
          <w:rFonts w:ascii="Times New Roman" w:hAnsi="Times New Roman" w:cs="Times New Roman"/>
          <w:b/>
          <w:sz w:val="28"/>
          <w:szCs w:val="28"/>
          <w:lang w:val="en-US"/>
        </w:rPr>
      </w:pPr>
    </w:p>
    <w:p w:rsidR="00D9088A" w:rsidRPr="00D9088A" w:rsidRDefault="00D9088A" w:rsidP="00504115">
      <w:pPr>
        <w:spacing w:after="0" w:line="240" w:lineRule="auto"/>
        <w:jc w:val="center"/>
        <w:rPr>
          <w:rFonts w:ascii="Times New Roman" w:hAnsi="Times New Roman" w:cs="Times New Roman"/>
          <w:b/>
          <w:sz w:val="28"/>
          <w:szCs w:val="28"/>
          <w:lang w:val="en-US"/>
        </w:rPr>
      </w:pPr>
    </w:p>
    <w:p w:rsidR="00C03827" w:rsidRPr="00A83C49" w:rsidRDefault="00A83C49" w:rsidP="002456FF">
      <w:pPr>
        <w:spacing w:after="0" w:line="300" w:lineRule="auto"/>
        <w:ind w:firstLine="709"/>
        <w:jc w:val="both"/>
        <w:rPr>
          <w:rFonts w:ascii="Times New Roman" w:eastAsia="Calibri" w:hAnsi="Times New Roman" w:cs="Times New Roman"/>
          <w:b/>
          <w:szCs w:val="28"/>
        </w:rPr>
      </w:pPr>
      <w:r w:rsidRPr="00A83C49">
        <w:rPr>
          <w:rFonts w:ascii="Times New Roman" w:eastAsia="Calibri" w:hAnsi="Times New Roman" w:cs="Times New Roman"/>
          <w:szCs w:val="28"/>
          <w:u w:val="single"/>
        </w:rPr>
        <w:t>Источник опубликования:</w:t>
      </w:r>
      <w:r>
        <w:rPr>
          <w:rFonts w:ascii="Times New Roman" w:eastAsia="Calibri" w:hAnsi="Times New Roman" w:cs="Times New Roman"/>
          <w:i/>
          <w:szCs w:val="28"/>
        </w:rPr>
        <w:t xml:space="preserve"> </w:t>
      </w:r>
      <w:r w:rsidRPr="00A83C49">
        <w:rPr>
          <w:rFonts w:ascii="Times New Roman" w:eastAsia="Calibri" w:hAnsi="Times New Roman" w:cs="Times New Roman"/>
          <w:i/>
          <w:szCs w:val="28"/>
        </w:rPr>
        <w:t>Красинский В.В.</w:t>
      </w:r>
      <w:r w:rsidRPr="00A83C49">
        <w:rPr>
          <w:rFonts w:ascii="Times New Roman" w:eastAsia="Calibri" w:hAnsi="Times New Roman" w:cs="Times New Roman"/>
          <w:szCs w:val="28"/>
        </w:rPr>
        <w:t xml:space="preserve"> Российские и международные методики оценки финансовой устойчивости </w:t>
      </w:r>
      <w:proofErr w:type="spellStart"/>
      <w:r w:rsidRPr="00A83C49">
        <w:rPr>
          <w:rFonts w:ascii="Times New Roman" w:eastAsia="Calibri" w:hAnsi="Times New Roman" w:cs="Times New Roman"/>
          <w:szCs w:val="28"/>
        </w:rPr>
        <w:t>системообразующих</w:t>
      </w:r>
      <w:proofErr w:type="spellEnd"/>
      <w:r w:rsidRPr="00A83C49">
        <w:rPr>
          <w:rFonts w:ascii="Times New Roman" w:eastAsia="Calibri" w:hAnsi="Times New Roman" w:cs="Times New Roman"/>
          <w:szCs w:val="28"/>
        </w:rPr>
        <w:t xml:space="preserve"> организаций и стратегических обществ // Современное право. 2021. № 11. С. 50-61. </w:t>
      </w:r>
      <w:r w:rsidRPr="00A83C49">
        <w:rPr>
          <w:rFonts w:ascii="Times New Roman" w:eastAsia="Calibri" w:hAnsi="Times New Roman" w:cs="Times New Roman"/>
          <w:b/>
          <w:szCs w:val="28"/>
          <w:lang w:val="en-US"/>
        </w:rPr>
        <w:t>DOI</w:t>
      </w:r>
      <w:r w:rsidRPr="00A83C49">
        <w:rPr>
          <w:rFonts w:ascii="Times New Roman" w:eastAsia="Calibri" w:hAnsi="Times New Roman" w:cs="Times New Roman"/>
          <w:b/>
          <w:bCs/>
          <w:szCs w:val="28"/>
        </w:rPr>
        <w:t xml:space="preserve"> </w:t>
      </w:r>
      <w:r w:rsidRPr="00A83C49">
        <w:rPr>
          <w:rFonts w:ascii="Times New Roman" w:eastAsia="Calibri" w:hAnsi="Times New Roman" w:cs="Times New Roman"/>
          <w:b/>
          <w:szCs w:val="28"/>
        </w:rPr>
        <w:t>10.25799/</w:t>
      </w:r>
      <w:r w:rsidRPr="00A83C49">
        <w:rPr>
          <w:rFonts w:ascii="Times New Roman" w:eastAsia="Calibri" w:hAnsi="Times New Roman" w:cs="Times New Roman"/>
          <w:b/>
          <w:szCs w:val="28"/>
          <w:lang w:val="en-US"/>
        </w:rPr>
        <w:t>NI</w:t>
      </w:r>
      <w:r w:rsidRPr="00A83C49">
        <w:rPr>
          <w:rFonts w:ascii="Times New Roman" w:eastAsia="Calibri" w:hAnsi="Times New Roman" w:cs="Times New Roman"/>
          <w:b/>
          <w:szCs w:val="28"/>
        </w:rPr>
        <w:t>.2021.90.92.010</w:t>
      </w:r>
    </w:p>
    <w:p w:rsidR="00A83C49" w:rsidRPr="00A83C49" w:rsidRDefault="00A83C49" w:rsidP="002456FF">
      <w:pPr>
        <w:spacing w:after="0" w:line="300" w:lineRule="auto"/>
        <w:ind w:firstLine="709"/>
        <w:jc w:val="both"/>
        <w:rPr>
          <w:rFonts w:ascii="Times New Roman" w:hAnsi="Times New Roman" w:cs="Times New Roman"/>
          <w:sz w:val="28"/>
        </w:rPr>
      </w:pPr>
    </w:p>
    <w:p w:rsidR="00DA22F8" w:rsidRDefault="00DA22F8"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t xml:space="preserve">Беспрецедентное </w:t>
      </w:r>
      <w:proofErr w:type="spellStart"/>
      <w:r>
        <w:rPr>
          <w:rFonts w:ascii="Times New Roman" w:hAnsi="Times New Roman" w:cs="Times New Roman"/>
          <w:sz w:val="28"/>
        </w:rPr>
        <w:t>санкционное</w:t>
      </w:r>
      <w:proofErr w:type="spellEnd"/>
      <w:r>
        <w:rPr>
          <w:rFonts w:ascii="Times New Roman" w:hAnsi="Times New Roman" w:cs="Times New Roman"/>
          <w:sz w:val="28"/>
        </w:rPr>
        <w:t xml:space="preserve"> давление на отрасли российской экономики, ухудшение инвестиционного и делового климата, негативное влияние последствий пандемии </w:t>
      </w:r>
      <w:proofErr w:type="spellStart"/>
      <w:r>
        <w:rPr>
          <w:rFonts w:ascii="Times New Roman" w:hAnsi="Times New Roman" w:cs="Times New Roman"/>
          <w:sz w:val="28"/>
        </w:rPr>
        <w:t>коронавируса</w:t>
      </w:r>
      <w:proofErr w:type="spellEnd"/>
      <w:r>
        <w:rPr>
          <w:rFonts w:ascii="Times New Roman" w:hAnsi="Times New Roman" w:cs="Times New Roman"/>
          <w:sz w:val="28"/>
        </w:rPr>
        <w:t xml:space="preserve"> ведут к росту долговой нагрузки и </w:t>
      </w:r>
      <w:r w:rsidR="00BE2FCF">
        <w:rPr>
          <w:rFonts w:ascii="Times New Roman" w:hAnsi="Times New Roman" w:cs="Times New Roman"/>
          <w:sz w:val="28"/>
        </w:rPr>
        <w:t>формированию</w:t>
      </w:r>
      <w:r>
        <w:rPr>
          <w:rFonts w:ascii="Times New Roman" w:hAnsi="Times New Roman" w:cs="Times New Roman"/>
          <w:sz w:val="28"/>
        </w:rPr>
        <w:t xml:space="preserve"> реальных рисков банкротства не только субъектов малого и среднего бизнеса, но и флагманов российской экономики. </w:t>
      </w:r>
    </w:p>
    <w:p w:rsidR="00061CBC" w:rsidRDefault="0047130A"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t xml:space="preserve">Общее снижение макроэкономических показателей непосредственно затронуло и крупные предприятия, среди которых системообразующие организации </w:t>
      </w:r>
      <w:r w:rsidR="00061CBC">
        <w:rPr>
          <w:rFonts w:ascii="Times New Roman" w:hAnsi="Times New Roman" w:cs="Times New Roman"/>
          <w:sz w:val="28"/>
        </w:rPr>
        <w:t xml:space="preserve">и стратегические общества. </w:t>
      </w:r>
      <w:r w:rsidR="00BE2FCF">
        <w:rPr>
          <w:rFonts w:ascii="Times New Roman" w:hAnsi="Times New Roman" w:cs="Times New Roman"/>
          <w:sz w:val="28"/>
        </w:rPr>
        <w:t xml:space="preserve">На фоне падения объемов производства, сокращения </w:t>
      </w:r>
      <w:r w:rsidR="001C78C4">
        <w:rPr>
          <w:rFonts w:ascii="Times New Roman" w:hAnsi="Times New Roman" w:cs="Times New Roman"/>
          <w:sz w:val="28"/>
        </w:rPr>
        <w:t xml:space="preserve">собственных оборотных средств, ограниченного доступа к займам, снижения чистых активов </w:t>
      </w:r>
      <w:r w:rsidR="00BE2FCF">
        <w:rPr>
          <w:rFonts w:ascii="Times New Roman" w:hAnsi="Times New Roman" w:cs="Times New Roman"/>
          <w:sz w:val="28"/>
        </w:rPr>
        <w:t xml:space="preserve">у значительного числа хозяйствующих субъектов возникли финансовые трудности. </w:t>
      </w:r>
      <w:r w:rsidR="00061CBC">
        <w:rPr>
          <w:rFonts w:ascii="Times New Roman" w:hAnsi="Times New Roman" w:cs="Times New Roman"/>
          <w:sz w:val="28"/>
        </w:rPr>
        <w:t xml:space="preserve">Представители криминалитета и коррумпированные должностные лица в ряде регионов использовали программы господдержки для </w:t>
      </w:r>
      <w:r w:rsidR="00BE2FCF">
        <w:rPr>
          <w:rFonts w:ascii="Times New Roman" w:hAnsi="Times New Roman" w:cs="Times New Roman"/>
          <w:sz w:val="28"/>
        </w:rPr>
        <w:t xml:space="preserve">транзитных операций, </w:t>
      </w:r>
      <w:r w:rsidR="00061CBC">
        <w:rPr>
          <w:rFonts w:ascii="Times New Roman" w:hAnsi="Times New Roman" w:cs="Times New Roman"/>
          <w:sz w:val="28"/>
        </w:rPr>
        <w:t>вывода капитала за рубеж, нецелевого использования и хищения полученных средств, что привело к снижению резервов и ухудшению финансово-экономического состояния аффилированных с ними организаций.</w:t>
      </w:r>
      <w:r w:rsidR="0033770D">
        <w:rPr>
          <w:rFonts w:ascii="Times New Roman" w:hAnsi="Times New Roman" w:cs="Times New Roman"/>
          <w:sz w:val="28"/>
        </w:rPr>
        <w:t xml:space="preserve"> Отмечались утечки активов в связи с обслуживанием системообразующих организаций и стратегических обществ в </w:t>
      </w:r>
      <w:proofErr w:type="spellStart"/>
      <w:r w:rsidR="0033770D">
        <w:rPr>
          <w:rFonts w:ascii="Times New Roman" w:hAnsi="Times New Roman" w:cs="Times New Roman"/>
          <w:sz w:val="28"/>
        </w:rPr>
        <w:t>высокорисковых</w:t>
      </w:r>
      <w:proofErr w:type="spellEnd"/>
      <w:r w:rsidR="0033770D">
        <w:rPr>
          <w:rFonts w:ascii="Times New Roman" w:hAnsi="Times New Roman" w:cs="Times New Roman"/>
          <w:sz w:val="28"/>
        </w:rPr>
        <w:t xml:space="preserve"> банках.</w:t>
      </w:r>
    </w:p>
    <w:p w:rsidR="00061CBC" w:rsidRDefault="00061CBC"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t xml:space="preserve">Данные обстоятельства </w:t>
      </w:r>
      <w:r w:rsidR="001C78C4">
        <w:rPr>
          <w:rFonts w:ascii="Times New Roman" w:hAnsi="Times New Roman" w:cs="Times New Roman"/>
          <w:sz w:val="28"/>
        </w:rPr>
        <w:t>актуализируют проблему оценки финансовой устойчивости российских компаний, от которых зависит «состояние здоровья» целых отраслей и национальной экономики.</w:t>
      </w:r>
    </w:p>
    <w:p w:rsidR="00AD0B18" w:rsidRDefault="00CC7EBF"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t>По ряду причин ф</w:t>
      </w:r>
      <w:r w:rsidR="00AD0B18">
        <w:rPr>
          <w:rFonts w:ascii="Times New Roman" w:hAnsi="Times New Roman" w:cs="Times New Roman"/>
          <w:sz w:val="28"/>
        </w:rPr>
        <w:t>инансовая устойчивость имеет ключевое значение для всех участников финансово-экономической деятельности</w:t>
      </w:r>
      <w:r w:rsidR="00FB643A">
        <w:rPr>
          <w:rFonts w:ascii="Times New Roman" w:hAnsi="Times New Roman" w:cs="Times New Roman"/>
          <w:sz w:val="28"/>
        </w:rPr>
        <w:t>.</w:t>
      </w:r>
    </w:p>
    <w:p w:rsidR="00D37C7E" w:rsidRDefault="00D37C7E"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 зарубежной литературе </w:t>
      </w:r>
      <w:r w:rsidR="00254ED5">
        <w:rPr>
          <w:rFonts w:ascii="Times New Roman" w:hAnsi="Times New Roman" w:cs="Times New Roman"/>
          <w:sz w:val="28"/>
        </w:rPr>
        <w:t>вопросы обеспечения финансовой устойчивости</w:t>
      </w:r>
      <w:r>
        <w:rPr>
          <w:rFonts w:ascii="Times New Roman" w:hAnsi="Times New Roman" w:cs="Times New Roman"/>
          <w:sz w:val="28"/>
        </w:rPr>
        <w:t xml:space="preserve"> рассматривались применительно к финансовым институтам, страховым организациям, кооперативам, провайдерам финансовых услуг, региональным и муниципальным органам власти</w:t>
      </w:r>
      <w:r w:rsidR="00B47459">
        <w:rPr>
          <w:rStyle w:val="aa"/>
          <w:rFonts w:ascii="Times New Roman" w:hAnsi="Times New Roman" w:cs="Times New Roman"/>
          <w:sz w:val="28"/>
        </w:rPr>
        <w:footnoteReference w:id="1"/>
      </w:r>
      <w:r>
        <w:rPr>
          <w:rFonts w:ascii="Times New Roman" w:hAnsi="Times New Roman" w:cs="Times New Roman"/>
          <w:sz w:val="28"/>
        </w:rPr>
        <w:t xml:space="preserve">. </w:t>
      </w:r>
      <w:r w:rsidR="00BE4436">
        <w:rPr>
          <w:rFonts w:ascii="Times New Roman" w:hAnsi="Times New Roman" w:cs="Times New Roman"/>
          <w:sz w:val="28"/>
        </w:rPr>
        <w:t>М</w:t>
      </w:r>
      <w:r w:rsidR="00BE4436">
        <w:rPr>
          <w:rFonts w:ascii="Times New Roman" w:hAnsi="Times New Roman" w:cs="Times New Roman"/>
          <w:sz w:val="28"/>
          <w:szCs w:val="28"/>
        </w:rPr>
        <w:t>еждународными рейтинговыми агентствами разработаны методологии и критерии оценки финансовой устойчивости и кредитоспособности организаций большинства отраслей и секторов экономики</w:t>
      </w:r>
      <w:r w:rsidR="001476EB">
        <w:rPr>
          <w:rStyle w:val="aa"/>
          <w:rFonts w:ascii="Times New Roman" w:hAnsi="Times New Roman" w:cs="Times New Roman"/>
          <w:sz w:val="28"/>
          <w:szCs w:val="28"/>
        </w:rPr>
        <w:footnoteReference w:id="2"/>
      </w:r>
      <w:r w:rsidR="00BE4436">
        <w:rPr>
          <w:rFonts w:ascii="Times New Roman" w:hAnsi="Times New Roman" w:cs="Times New Roman"/>
          <w:sz w:val="28"/>
          <w:szCs w:val="28"/>
        </w:rPr>
        <w:t>.</w:t>
      </w:r>
    </w:p>
    <w:p w:rsidR="00D37C7E" w:rsidRDefault="00D37C7E"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t>Российские исследователи изучали, главным образом, вопросы финансового анализа, оценки показателей бухгалтерской и статистической отчетности коммерческих и бюджетных организаций</w:t>
      </w:r>
      <w:r w:rsidR="000A48F3">
        <w:rPr>
          <w:rStyle w:val="aa"/>
          <w:rFonts w:ascii="Times New Roman" w:hAnsi="Times New Roman" w:cs="Times New Roman"/>
          <w:sz w:val="28"/>
        </w:rPr>
        <w:footnoteReference w:id="3"/>
      </w:r>
      <w:r>
        <w:rPr>
          <w:rFonts w:ascii="Times New Roman" w:hAnsi="Times New Roman" w:cs="Times New Roman"/>
          <w:sz w:val="28"/>
        </w:rPr>
        <w:t>.</w:t>
      </w:r>
      <w:r w:rsidR="00254ED5" w:rsidRPr="00254ED5">
        <w:rPr>
          <w:rFonts w:ascii="Times New Roman" w:hAnsi="Times New Roman" w:cs="Times New Roman"/>
          <w:sz w:val="28"/>
          <w:szCs w:val="28"/>
        </w:rPr>
        <w:t xml:space="preserve"> </w:t>
      </w:r>
      <w:r w:rsidR="00254ED5">
        <w:rPr>
          <w:rFonts w:ascii="Times New Roman" w:hAnsi="Times New Roman" w:cs="Times New Roman"/>
          <w:sz w:val="28"/>
          <w:szCs w:val="28"/>
        </w:rPr>
        <w:t xml:space="preserve">Национальными </w:t>
      </w:r>
      <w:r w:rsidR="00254ED5">
        <w:rPr>
          <w:rFonts w:ascii="Times New Roman" w:hAnsi="Times New Roman" w:cs="Times New Roman"/>
          <w:sz w:val="28"/>
          <w:szCs w:val="28"/>
        </w:rPr>
        <w:lastRenderedPageBreak/>
        <w:t xml:space="preserve">рейтинговыми агентствами </w:t>
      </w:r>
      <w:r w:rsidR="00EB156C">
        <w:rPr>
          <w:rFonts w:ascii="Times New Roman" w:hAnsi="Times New Roman" w:cs="Times New Roman"/>
          <w:sz w:val="28"/>
          <w:szCs w:val="28"/>
        </w:rPr>
        <w:t xml:space="preserve">также </w:t>
      </w:r>
      <w:r w:rsidR="00254ED5">
        <w:rPr>
          <w:rFonts w:ascii="Times New Roman" w:hAnsi="Times New Roman" w:cs="Times New Roman"/>
          <w:sz w:val="28"/>
          <w:szCs w:val="28"/>
        </w:rPr>
        <w:t>проведена оценка кредитоспособности и финансовой устойчивости многих финансовых и нефинансовых институтов</w:t>
      </w:r>
      <w:r w:rsidR="00AA231C">
        <w:rPr>
          <w:rStyle w:val="aa"/>
          <w:rFonts w:ascii="Times New Roman" w:hAnsi="Times New Roman" w:cs="Times New Roman"/>
          <w:sz w:val="28"/>
          <w:szCs w:val="28"/>
        </w:rPr>
        <w:footnoteReference w:id="4"/>
      </w:r>
      <w:r w:rsidR="00254ED5">
        <w:rPr>
          <w:rFonts w:ascii="Times New Roman" w:hAnsi="Times New Roman" w:cs="Times New Roman"/>
          <w:sz w:val="28"/>
          <w:szCs w:val="28"/>
        </w:rPr>
        <w:t>.</w:t>
      </w:r>
    </w:p>
    <w:p w:rsidR="00D37C7E" w:rsidRDefault="00254ED5"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t>В то же время н</w:t>
      </w:r>
      <w:r w:rsidR="00D37C7E">
        <w:rPr>
          <w:rFonts w:ascii="Times New Roman" w:hAnsi="Times New Roman" w:cs="Times New Roman"/>
          <w:sz w:val="28"/>
        </w:rPr>
        <w:t>а системной основе научно-методическая и правовая оценка финансовой устойчивости системообразующих организаций и стратегических обществ не проводилась.</w:t>
      </w:r>
    </w:p>
    <w:p w:rsidR="00FB643A" w:rsidRDefault="00FB643A"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t>Для собственников организаций финансовая устойчивость является показателем рентабельности, стабильности, деловой репутации и перспектив развития.</w:t>
      </w:r>
      <w:r w:rsidR="000D0023">
        <w:rPr>
          <w:rFonts w:ascii="Times New Roman" w:hAnsi="Times New Roman" w:cs="Times New Roman"/>
          <w:sz w:val="28"/>
        </w:rPr>
        <w:t xml:space="preserve"> Финансовая устойчивость показывает, насколько организация (предприятие) способно отвечать по долговым обязательствам и наращивать свой экономический потенциал</w:t>
      </w:r>
      <w:r w:rsidR="00CD2AAC">
        <w:rPr>
          <w:rStyle w:val="aa"/>
          <w:rFonts w:ascii="Times New Roman" w:hAnsi="Times New Roman" w:cs="Times New Roman"/>
          <w:sz w:val="28"/>
        </w:rPr>
        <w:footnoteReference w:id="5"/>
      </w:r>
      <w:r w:rsidR="000D0023">
        <w:rPr>
          <w:rFonts w:ascii="Times New Roman" w:hAnsi="Times New Roman" w:cs="Times New Roman"/>
          <w:sz w:val="28"/>
        </w:rPr>
        <w:t>.</w:t>
      </w:r>
    </w:p>
    <w:p w:rsidR="00FB643A" w:rsidRDefault="00FB643A"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t xml:space="preserve">Для инвесторов степень финансовой устойчивости </w:t>
      </w:r>
      <w:r w:rsidR="00DB37BD">
        <w:rPr>
          <w:rFonts w:ascii="Times New Roman" w:hAnsi="Times New Roman" w:cs="Times New Roman"/>
          <w:sz w:val="28"/>
        </w:rPr>
        <w:t xml:space="preserve"> служит индикатором инвестиционной привлекательности (рискованности вложений).</w:t>
      </w:r>
    </w:p>
    <w:p w:rsidR="00DB37BD" w:rsidRDefault="00DB37BD"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t xml:space="preserve">Для кредитных организаций </w:t>
      </w:r>
      <w:r w:rsidR="00AB0BA5">
        <w:rPr>
          <w:rFonts w:ascii="Times New Roman" w:hAnsi="Times New Roman" w:cs="Times New Roman"/>
          <w:sz w:val="28"/>
        </w:rPr>
        <w:t xml:space="preserve">и контрагентов </w:t>
      </w:r>
      <w:r>
        <w:rPr>
          <w:rFonts w:ascii="Times New Roman" w:hAnsi="Times New Roman" w:cs="Times New Roman"/>
          <w:sz w:val="28"/>
        </w:rPr>
        <w:t>финансовая устойчивость</w:t>
      </w:r>
      <w:r w:rsidR="00AB0BA5">
        <w:rPr>
          <w:rFonts w:ascii="Times New Roman" w:hAnsi="Times New Roman" w:cs="Times New Roman"/>
          <w:sz w:val="28"/>
        </w:rPr>
        <w:t xml:space="preserve"> организации связана со своевременным и полным выполнением ей договорных обязательств.</w:t>
      </w:r>
    </w:p>
    <w:p w:rsidR="00AB0BA5" w:rsidRDefault="00AB0BA5"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t>Для работников организаций</w:t>
      </w:r>
      <w:r w:rsidR="00B24F4A">
        <w:rPr>
          <w:rFonts w:ascii="Times New Roman" w:hAnsi="Times New Roman" w:cs="Times New Roman"/>
          <w:sz w:val="28"/>
        </w:rPr>
        <w:t xml:space="preserve"> финансовая устойчивость означает своевременную выплату заработной платы и сохранение рабочих мест.</w:t>
      </w:r>
    </w:p>
    <w:p w:rsidR="00B24F4A" w:rsidRDefault="00B24F4A"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t xml:space="preserve">Для государства </w:t>
      </w:r>
      <w:r w:rsidR="001A6DD9">
        <w:rPr>
          <w:rFonts w:ascii="Times New Roman" w:hAnsi="Times New Roman" w:cs="Times New Roman"/>
          <w:sz w:val="28"/>
        </w:rPr>
        <w:t xml:space="preserve">финансовая устойчивость предполагает своевременный и в полном объеме сбор налогов и других обязательных платежей, </w:t>
      </w:r>
      <w:r w:rsidR="00253B2F">
        <w:rPr>
          <w:rFonts w:ascii="Times New Roman" w:hAnsi="Times New Roman" w:cs="Times New Roman"/>
          <w:sz w:val="28"/>
        </w:rPr>
        <w:t xml:space="preserve">гарантии </w:t>
      </w:r>
      <w:r w:rsidR="001A6DD9">
        <w:rPr>
          <w:rFonts w:ascii="Times New Roman" w:hAnsi="Times New Roman" w:cs="Times New Roman"/>
          <w:sz w:val="28"/>
        </w:rPr>
        <w:t>выполнени</w:t>
      </w:r>
      <w:r w:rsidR="00253B2F">
        <w:rPr>
          <w:rFonts w:ascii="Times New Roman" w:hAnsi="Times New Roman" w:cs="Times New Roman"/>
          <w:sz w:val="28"/>
        </w:rPr>
        <w:t>я</w:t>
      </w:r>
      <w:r w:rsidR="001A6DD9">
        <w:rPr>
          <w:rFonts w:ascii="Times New Roman" w:hAnsi="Times New Roman" w:cs="Times New Roman"/>
          <w:sz w:val="28"/>
        </w:rPr>
        <w:t xml:space="preserve"> социальных обязательств.</w:t>
      </w:r>
    </w:p>
    <w:p w:rsidR="00383389" w:rsidRDefault="00F25A3A"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t xml:space="preserve">Анализ финансовой устойчивости  традиционно </w:t>
      </w:r>
      <w:r w:rsidR="00383389">
        <w:rPr>
          <w:rFonts w:ascii="Times New Roman" w:hAnsi="Times New Roman" w:cs="Times New Roman"/>
          <w:sz w:val="28"/>
        </w:rPr>
        <w:t xml:space="preserve">осуществляется </w:t>
      </w:r>
      <w:r>
        <w:rPr>
          <w:rFonts w:ascii="Times New Roman" w:hAnsi="Times New Roman" w:cs="Times New Roman"/>
          <w:sz w:val="28"/>
        </w:rPr>
        <w:t>на основе оценки абсолютных и относительных показателей бухгалтерской и статистической отчетности</w:t>
      </w:r>
      <w:r w:rsidR="00A64275">
        <w:rPr>
          <w:rStyle w:val="aa"/>
          <w:rFonts w:ascii="Times New Roman" w:hAnsi="Times New Roman" w:cs="Times New Roman"/>
          <w:sz w:val="28"/>
        </w:rPr>
        <w:footnoteReference w:id="6"/>
      </w:r>
      <w:r>
        <w:rPr>
          <w:rFonts w:ascii="Times New Roman" w:hAnsi="Times New Roman" w:cs="Times New Roman"/>
          <w:sz w:val="28"/>
        </w:rPr>
        <w:t>.</w:t>
      </w:r>
      <w:r w:rsidR="00CD2AAC">
        <w:rPr>
          <w:rFonts w:ascii="Times New Roman" w:hAnsi="Times New Roman" w:cs="Times New Roman"/>
          <w:sz w:val="28"/>
        </w:rPr>
        <w:t xml:space="preserve"> </w:t>
      </w:r>
      <w:r w:rsidR="00383389">
        <w:rPr>
          <w:rFonts w:ascii="Times New Roman" w:hAnsi="Times New Roman" w:cs="Times New Roman"/>
          <w:sz w:val="28"/>
        </w:rPr>
        <w:t>Для подтверждения достоверности бухгалтерской отчетности  проводятся аудиторские проверки.</w:t>
      </w:r>
    </w:p>
    <w:p w:rsidR="00383389" w:rsidRDefault="00383389"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lastRenderedPageBreak/>
        <w:t>На основе данных итогового анализа финансово-экономического состояния осуществляется выработка почти всех направлений  финансовой политики предприятия, и от того, насколько качественно он проведен, зависит эффективность принимаемых управленческих решений</w:t>
      </w:r>
      <w:r w:rsidR="00E01F30">
        <w:rPr>
          <w:rStyle w:val="aa"/>
          <w:rFonts w:ascii="Times New Roman" w:hAnsi="Times New Roman" w:cs="Times New Roman"/>
          <w:sz w:val="28"/>
        </w:rPr>
        <w:footnoteReference w:id="7"/>
      </w:r>
      <w:r>
        <w:rPr>
          <w:rFonts w:ascii="Times New Roman" w:hAnsi="Times New Roman" w:cs="Times New Roman"/>
          <w:sz w:val="28"/>
        </w:rPr>
        <w:t>.</w:t>
      </w:r>
    </w:p>
    <w:p w:rsidR="00F25A3A" w:rsidRDefault="00CD2AAC"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t xml:space="preserve">Системный мониторинг показателей финансовой устойчивости позволяет собственникам, акционерам, руководителям организаций принимать упреждающие меры по </w:t>
      </w:r>
      <w:r w:rsidR="00F47BD7">
        <w:rPr>
          <w:rFonts w:ascii="Times New Roman" w:hAnsi="Times New Roman" w:cs="Times New Roman"/>
          <w:sz w:val="28"/>
        </w:rPr>
        <w:t>поддержанию достаточного размера собственного капитала, высокого качества активов, обеспечению стабильного дохода, ликвидности и рентабельности.</w:t>
      </w:r>
    </w:p>
    <w:p w:rsidR="00FC0BB0" w:rsidRDefault="00FC0BB0" w:rsidP="002456FF">
      <w:pPr>
        <w:spacing w:after="0" w:line="30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приказа Министерства экономического развития Российской Федерации от 7 апреля 2020 г. № 207 «Об утверждении порядка проведения мониторинга финансово-экономического состояния системообразующих организаций российской экономики» для своевременного выявления негативных факторов (рисков), влияющих на устойчивую работу системообразующих организаций, Министерством экономического развития совместно с Министерством промышленности и торговли и Министерством энергетики ведется мониторинг </w:t>
      </w:r>
      <w:r w:rsidR="001D7F81">
        <w:rPr>
          <w:rFonts w:ascii="Times New Roman CYR" w:hAnsi="Times New Roman CYR" w:cs="Times New Roman CYR"/>
          <w:sz w:val="28"/>
          <w:szCs w:val="28"/>
        </w:rPr>
        <w:t xml:space="preserve">финансовой устойчивости </w:t>
      </w:r>
      <w:r>
        <w:rPr>
          <w:rFonts w:ascii="Times New Roman CYR" w:hAnsi="Times New Roman CYR" w:cs="Times New Roman CYR"/>
          <w:sz w:val="28"/>
          <w:szCs w:val="28"/>
        </w:rPr>
        <w:t>системообразующих организаций</w:t>
      </w:r>
      <w:r w:rsidR="008B53B5">
        <w:rPr>
          <w:rStyle w:val="aa"/>
          <w:rFonts w:ascii="Times New Roman CYR" w:hAnsi="Times New Roman CYR" w:cs="Times New Roman CYR"/>
          <w:sz w:val="28"/>
          <w:szCs w:val="28"/>
        </w:rPr>
        <w:footnoteReference w:id="8"/>
      </w:r>
      <w:r>
        <w:rPr>
          <w:rFonts w:ascii="Times New Roman CYR" w:hAnsi="Times New Roman CYR" w:cs="Times New Roman CYR"/>
          <w:sz w:val="28"/>
          <w:szCs w:val="28"/>
        </w:rPr>
        <w:t>. В соответствии с п.11 Порядка проведения мониторинга финансово-экономического состояния системообразующих о</w:t>
      </w:r>
      <w:r w:rsidR="009D252C">
        <w:rPr>
          <w:rFonts w:ascii="Times New Roman CYR" w:hAnsi="Times New Roman CYR" w:cs="Times New Roman CYR"/>
          <w:sz w:val="28"/>
          <w:szCs w:val="28"/>
        </w:rPr>
        <w:t>рганизаций российской экономики</w:t>
      </w:r>
      <w:r w:rsidR="00AD0B1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Минэнерго и </w:t>
      </w:r>
      <w:proofErr w:type="spellStart"/>
      <w:r>
        <w:rPr>
          <w:rFonts w:ascii="Times New Roman CYR" w:hAnsi="Times New Roman CYR" w:cs="Times New Roman CYR"/>
          <w:sz w:val="28"/>
          <w:szCs w:val="28"/>
        </w:rPr>
        <w:t>Минпромторг</w:t>
      </w:r>
      <w:proofErr w:type="spellEnd"/>
      <w:r>
        <w:rPr>
          <w:rFonts w:ascii="Times New Roman CYR" w:hAnsi="Times New Roman CYR" w:cs="Times New Roman CYR"/>
          <w:sz w:val="28"/>
          <w:szCs w:val="28"/>
        </w:rPr>
        <w:t xml:space="preserve"> России формируют отчеты по мониторингу соответствующих системообразующих организаций, а Минэкономразвития формирует сводный отчет о финансово-экономическом состоянии системообразующих организаций по отраслям экономики</w:t>
      </w:r>
      <w:r>
        <w:rPr>
          <w:rStyle w:val="aa"/>
          <w:rFonts w:ascii="Times New Roman CYR" w:hAnsi="Times New Roman CYR" w:cs="Times New Roman CYR"/>
          <w:sz w:val="28"/>
          <w:szCs w:val="28"/>
        </w:rPr>
        <w:footnoteReference w:id="9"/>
      </w:r>
      <w:r>
        <w:rPr>
          <w:rFonts w:ascii="Times New Roman CYR" w:hAnsi="Times New Roman CYR" w:cs="Times New Roman CYR"/>
          <w:sz w:val="28"/>
          <w:szCs w:val="28"/>
        </w:rPr>
        <w:t xml:space="preserve">. </w:t>
      </w:r>
    </w:p>
    <w:p w:rsidR="00FC0BB0" w:rsidRDefault="00FC0BB0" w:rsidP="002456FF">
      <w:pPr>
        <w:spacing w:after="0" w:line="30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Перечень показателей </w:t>
      </w:r>
      <w:r w:rsidR="00F97BDC">
        <w:rPr>
          <w:rFonts w:ascii="Times New Roman CYR" w:hAnsi="Times New Roman CYR" w:cs="Times New Roman CYR"/>
          <w:sz w:val="28"/>
          <w:szCs w:val="28"/>
        </w:rPr>
        <w:t xml:space="preserve">мониторинга </w:t>
      </w:r>
      <w:r>
        <w:rPr>
          <w:rFonts w:ascii="Times New Roman CYR" w:hAnsi="Times New Roman CYR" w:cs="Times New Roman CYR"/>
          <w:sz w:val="28"/>
          <w:szCs w:val="28"/>
        </w:rPr>
        <w:t>финансово-экономического состояния системообразующих организаций утвержден приказом Министерства экономического развития Российской Федерации от 7 апреля 2020 г. № 207. Группа показателей включает 7 текущих и 2 прогнозных показателя.</w:t>
      </w:r>
    </w:p>
    <w:p w:rsidR="00FC0BB0" w:rsidRDefault="00FC0BB0" w:rsidP="002456FF">
      <w:pPr>
        <w:spacing w:after="0" w:line="30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Текущие показатели</w:t>
      </w:r>
      <w:r w:rsidR="001D730E">
        <w:rPr>
          <w:rFonts w:ascii="Times New Roman CYR" w:hAnsi="Times New Roman CYR" w:cs="Times New Roman CYR"/>
          <w:sz w:val="28"/>
          <w:szCs w:val="28"/>
        </w:rPr>
        <w:t xml:space="preserve"> (операционный денежный поток</w:t>
      </w:r>
      <w:r w:rsidR="000A727F">
        <w:rPr>
          <w:rStyle w:val="aa"/>
          <w:rFonts w:ascii="Times New Roman CYR" w:hAnsi="Times New Roman CYR" w:cs="Times New Roman CYR"/>
          <w:sz w:val="28"/>
          <w:szCs w:val="28"/>
        </w:rPr>
        <w:footnoteReference w:id="10"/>
      </w:r>
      <w:r w:rsidR="001D730E">
        <w:rPr>
          <w:rFonts w:ascii="Times New Roman CYR" w:hAnsi="Times New Roman CYR" w:cs="Times New Roman CYR"/>
          <w:sz w:val="28"/>
          <w:szCs w:val="28"/>
        </w:rPr>
        <w:t>, изменение остатка денежных средств; отношение полной численности работников к полной численности на 4 мая 2020 г.</w:t>
      </w:r>
      <w:r>
        <w:rPr>
          <w:rFonts w:ascii="Times New Roman CYR" w:hAnsi="Times New Roman CYR" w:cs="Times New Roman CYR"/>
          <w:sz w:val="28"/>
          <w:szCs w:val="28"/>
        </w:rPr>
        <w:t xml:space="preserve"> </w:t>
      </w:r>
      <w:r w:rsidR="001D730E">
        <w:rPr>
          <w:rFonts w:ascii="Times New Roman CYR" w:hAnsi="Times New Roman CYR" w:cs="Times New Roman CYR"/>
          <w:sz w:val="28"/>
          <w:szCs w:val="28"/>
        </w:rPr>
        <w:t xml:space="preserve">или отношение численности работников в неоплачиваемом отпуске к полной численности сотрудников; изменение выручки и </w:t>
      </w:r>
      <w:r w:rsidR="001D730E">
        <w:rPr>
          <w:rFonts w:ascii="Times New Roman CYR" w:hAnsi="Times New Roman CYR" w:cs="Times New Roman CYR"/>
          <w:sz w:val="28"/>
          <w:szCs w:val="28"/>
          <w:lang w:val="en-US"/>
        </w:rPr>
        <w:t>EBIT</w:t>
      </w:r>
      <w:r w:rsidR="00D93544">
        <w:rPr>
          <w:rStyle w:val="aa"/>
          <w:rFonts w:ascii="Times New Roman CYR" w:hAnsi="Times New Roman CYR" w:cs="Times New Roman CYR"/>
          <w:sz w:val="28"/>
          <w:szCs w:val="28"/>
          <w:lang w:val="en-US"/>
        </w:rPr>
        <w:footnoteReference w:id="11"/>
      </w:r>
      <w:r w:rsidR="001D730E">
        <w:rPr>
          <w:rFonts w:ascii="Times New Roman CYR" w:hAnsi="Times New Roman CYR" w:cs="Times New Roman CYR"/>
          <w:sz w:val="28"/>
          <w:szCs w:val="28"/>
        </w:rPr>
        <w:t xml:space="preserve">; изменение дебиторской задолженности и отношение просроченной дебиторской задолженности к дебиторской задолженности; отношение суммы краткосрочных и долгосрочных кредитов и займов к ожидаемой </w:t>
      </w:r>
      <w:r w:rsidR="001D730E">
        <w:rPr>
          <w:rFonts w:ascii="Times New Roman CYR" w:hAnsi="Times New Roman CYR" w:cs="Times New Roman CYR"/>
          <w:sz w:val="28"/>
          <w:szCs w:val="28"/>
          <w:lang w:val="en-US"/>
        </w:rPr>
        <w:t>EBITDA</w:t>
      </w:r>
      <w:r w:rsidR="001D730E">
        <w:rPr>
          <w:rFonts w:ascii="Times New Roman CYR" w:hAnsi="Times New Roman CYR" w:cs="Times New Roman CYR"/>
          <w:sz w:val="28"/>
          <w:szCs w:val="28"/>
        </w:rPr>
        <w:t xml:space="preserve"> в текущем году</w:t>
      </w:r>
      <w:r w:rsidR="00FF42CA">
        <w:rPr>
          <w:rStyle w:val="aa"/>
          <w:rFonts w:ascii="Times New Roman CYR" w:hAnsi="Times New Roman CYR" w:cs="Times New Roman CYR"/>
          <w:sz w:val="28"/>
          <w:szCs w:val="28"/>
        </w:rPr>
        <w:footnoteReference w:id="12"/>
      </w:r>
      <w:r w:rsidR="001D730E">
        <w:rPr>
          <w:rFonts w:ascii="Times New Roman CYR" w:hAnsi="Times New Roman CYR" w:cs="Times New Roman CYR"/>
          <w:sz w:val="28"/>
          <w:szCs w:val="28"/>
        </w:rPr>
        <w:t xml:space="preserve">; просроченная задолженность по Фонду оплаты труда; чистый оборотный капитал) </w:t>
      </w:r>
      <w:r>
        <w:rPr>
          <w:rFonts w:ascii="Times New Roman CYR" w:hAnsi="Times New Roman CYR" w:cs="Times New Roman CYR"/>
          <w:sz w:val="28"/>
          <w:szCs w:val="28"/>
        </w:rPr>
        <w:t xml:space="preserve">позволяют оценивать </w:t>
      </w:r>
      <w:r w:rsidR="001D730E">
        <w:rPr>
          <w:rFonts w:ascii="Times New Roman CYR" w:hAnsi="Times New Roman CYR" w:cs="Times New Roman CYR"/>
          <w:sz w:val="28"/>
          <w:szCs w:val="28"/>
        </w:rPr>
        <w:t xml:space="preserve">обороты выбытия работников, </w:t>
      </w:r>
      <w:r w:rsidR="00F62E5E">
        <w:rPr>
          <w:rFonts w:ascii="Times New Roman CYR" w:hAnsi="Times New Roman CYR" w:cs="Times New Roman CYR"/>
          <w:sz w:val="28"/>
          <w:szCs w:val="28"/>
        </w:rPr>
        <w:t xml:space="preserve">задолженность по оплате труда, </w:t>
      </w:r>
      <w:r>
        <w:rPr>
          <w:rFonts w:ascii="Times New Roman CYR" w:hAnsi="Times New Roman CYR" w:cs="Times New Roman CYR"/>
          <w:sz w:val="28"/>
          <w:szCs w:val="28"/>
        </w:rPr>
        <w:t>ликвидность, долговую нагрузку, рентабельность организации.</w:t>
      </w:r>
    </w:p>
    <w:p w:rsidR="00FC0BB0" w:rsidRDefault="00FC0BB0" w:rsidP="002456FF">
      <w:pPr>
        <w:spacing w:after="0" w:line="30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Прогнозные показатели</w:t>
      </w:r>
      <w:r w:rsidR="00F62E5E">
        <w:rPr>
          <w:rFonts w:ascii="Times New Roman CYR" w:hAnsi="Times New Roman CYR" w:cs="Times New Roman CYR"/>
          <w:sz w:val="28"/>
          <w:szCs w:val="28"/>
        </w:rPr>
        <w:t xml:space="preserve"> (</w:t>
      </w:r>
      <w:r w:rsidR="00827DBD">
        <w:rPr>
          <w:rFonts w:ascii="Times New Roman CYR" w:hAnsi="Times New Roman CYR" w:cs="Times New Roman CYR"/>
          <w:sz w:val="28"/>
          <w:szCs w:val="28"/>
        </w:rPr>
        <w:t>отношение ожидаемой полной численности сотрудников к полной численности на 4 мая 2020 г. или отношение суммы остатка денежных средств и ожидаемого операционного денежного потока к выплате процентов по долгу в следующем отчетном периоде</w:t>
      </w:r>
      <w:r w:rsidR="00F62E5E">
        <w:rPr>
          <w:rFonts w:ascii="Times New Roman CYR" w:hAnsi="Times New Roman CYR" w:cs="Times New Roman CYR"/>
          <w:sz w:val="28"/>
          <w:szCs w:val="28"/>
        </w:rPr>
        <w:t>) характеризуют движение рабочей силы и кредитоспособность организации</w:t>
      </w:r>
      <w:r w:rsidR="00827DBD">
        <w:rPr>
          <w:rFonts w:ascii="Times New Roman CYR" w:hAnsi="Times New Roman CYR" w:cs="Times New Roman CYR"/>
          <w:sz w:val="28"/>
          <w:szCs w:val="28"/>
        </w:rPr>
        <w:t>.</w:t>
      </w:r>
    </w:p>
    <w:p w:rsidR="00C775F0" w:rsidRDefault="00C775F0" w:rsidP="002456FF">
      <w:pPr>
        <w:spacing w:after="0" w:line="30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Установленные </w:t>
      </w:r>
      <w:r w:rsidR="002A2519">
        <w:rPr>
          <w:rFonts w:ascii="Times New Roman CYR" w:hAnsi="Times New Roman CYR" w:cs="Times New Roman CYR"/>
          <w:sz w:val="28"/>
          <w:szCs w:val="28"/>
        </w:rPr>
        <w:t xml:space="preserve">абсолютные и относительные </w:t>
      </w:r>
      <w:r>
        <w:rPr>
          <w:rFonts w:ascii="Times New Roman CYR" w:hAnsi="Times New Roman CYR" w:cs="Times New Roman CYR"/>
          <w:sz w:val="28"/>
          <w:szCs w:val="28"/>
        </w:rPr>
        <w:t xml:space="preserve">показатели позволяют </w:t>
      </w:r>
      <w:r w:rsidR="00C37A02">
        <w:rPr>
          <w:rFonts w:ascii="Times New Roman CYR" w:hAnsi="Times New Roman CYR" w:cs="Times New Roman CYR"/>
          <w:sz w:val="28"/>
          <w:szCs w:val="28"/>
        </w:rPr>
        <w:t>оценивать</w:t>
      </w:r>
      <w:r>
        <w:rPr>
          <w:rFonts w:ascii="Times New Roman CYR" w:hAnsi="Times New Roman CYR" w:cs="Times New Roman CYR"/>
          <w:sz w:val="28"/>
          <w:szCs w:val="28"/>
        </w:rPr>
        <w:t xml:space="preserve"> ключевые параметры финансово-экономической деятельности </w:t>
      </w:r>
      <w:r w:rsidR="00827DBD">
        <w:rPr>
          <w:rFonts w:ascii="Times New Roman CYR" w:hAnsi="Times New Roman CYR" w:cs="Times New Roman CYR"/>
          <w:sz w:val="28"/>
          <w:szCs w:val="28"/>
        </w:rPr>
        <w:t xml:space="preserve">системообразующих организаций </w:t>
      </w:r>
      <w:r>
        <w:rPr>
          <w:rFonts w:ascii="Times New Roman CYR" w:hAnsi="Times New Roman CYR" w:cs="Times New Roman CYR"/>
          <w:sz w:val="28"/>
          <w:szCs w:val="28"/>
        </w:rPr>
        <w:t>и их динамику.</w:t>
      </w:r>
    </w:p>
    <w:p w:rsidR="00EC6735" w:rsidRDefault="00756AF6" w:rsidP="002456FF">
      <w:pPr>
        <w:spacing w:after="0" w:line="30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w:t>
      </w:r>
      <w:r w:rsidR="0028507F">
        <w:rPr>
          <w:rFonts w:ascii="Times New Roman CYR" w:hAnsi="Times New Roman CYR" w:cs="Times New Roman CYR"/>
          <w:sz w:val="28"/>
          <w:szCs w:val="28"/>
        </w:rPr>
        <w:t xml:space="preserve">с </w:t>
      </w:r>
      <w:r w:rsidR="00BF5D31">
        <w:rPr>
          <w:rFonts w:ascii="Times New Roman CYR" w:hAnsi="Times New Roman CYR" w:cs="Times New Roman CYR"/>
          <w:sz w:val="28"/>
          <w:szCs w:val="28"/>
        </w:rPr>
        <w:t xml:space="preserve">распространением новой </w:t>
      </w:r>
      <w:proofErr w:type="spellStart"/>
      <w:r w:rsidR="00BF5D31">
        <w:rPr>
          <w:rFonts w:ascii="Times New Roman CYR" w:hAnsi="Times New Roman CYR" w:cs="Times New Roman CYR"/>
          <w:sz w:val="28"/>
          <w:szCs w:val="28"/>
        </w:rPr>
        <w:t>коронавирусной</w:t>
      </w:r>
      <w:proofErr w:type="spellEnd"/>
      <w:r w:rsidR="00BF5D31">
        <w:rPr>
          <w:rFonts w:ascii="Times New Roman CYR" w:hAnsi="Times New Roman CYR" w:cs="Times New Roman CYR"/>
          <w:sz w:val="28"/>
          <w:szCs w:val="28"/>
        </w:rPr>
        <w:t xml:space="preserve"> инфекции </w:t>
      </w:r>
      <w:r w:rsidR="009D3F02">
        <w:rPr>
          <w:rFonts w:ascii="Times New Roman CYR" w:hAnsi="Times New Roman CYR" w:cs="Times New Roman CYR"/>
          <w:sz w:val="28"/>
          <w:szCs w:val="28"/>
        </w:rPr>
        <w:t>Правительство</w:t>
      </w:r>
      <w:r w:rsidR="0028507F">
        <w:rPr>
          <w:rFonts w:ascii="Times New Roman CYR" w:hAnsi="Times New Roman CYR" w:cs="Times New Roman CYR"/>
          <w:sz w:val="28"/>
          <w:szCs w:val="28"/>
        </w:rPr>
        <w:t>м</w:t>
      </w:r>
      <w:r w:rsidR="009D3F02">
        <w:rPr>
          <w:rFonts w:ascii="Times New Roman CYR" w:hAnsi="Times New Roman CYR" w:cs="Times New Roman CYR"/>
          <w:sz w:val="28"/>
          <w:szCs w:val="28"/>
        </w:rPr>
        <w:t xml:space="preserve"> Российской Федерации </w:t>
      </w:r>
      <w:r w:rsidR="00BF5D31">
        <w:rPr>
          <w:rFonts w:ascii="Times New Roman CYR" w:hAnsi="Times New Roman CYR" w:cs="Times New Roman CYR"/>
          <w:sz w:val="28"/>
          <w:szCs w:val="28"/>
        </w:rPr>
        <w:t xml:space="preserve">были приняты </w:t>
      </w:r>
      <w:r w:rsidR="00BF5D31" w:rsidRPr="004D560D">
        <w:rPr>
          <w:rFonts w:ascii="Times New Roman" w:eastAsia="Calibri" w:hAnsi="Times New Roman" w:cs="Times New Roman"/>
          <w:sz w:val="28"/>
          <w:szCs w:val="28"/>
        </w:rPr>
        <w:t>программ</w:t>
      </w:r>
      <w:r w:rsidR="00BF5D31">
        <w:rPr>
          <w:rFonts w:ascii="Times New Roman" w:eastAsia="Calibri" w:hAnsi="Times New Roman" w:cs="Times New Roman"/>
          <w:sz w:val="28"/>
          <w:szCs w:val="28"/>
        </w:rPr>
        <w:t>ы</w:t>
      </w:r>
      <w:r w:rsidR="00BF5D31" w:rsidRPr="004D560D">
        <w:rPr>
          <w:rFonts w:ascii="Times New Roman" w:eastAsia="Calibri" w:hAnsi="Times New Roman" w:cs="Times New Roman"/>
          <w:sz w:val="28"/>
          <w:szCs w:val="28"/>
        </w:rPr>
        <w:t xml:space="preserve"> государственной поддержки </w:t>
      </w:r>
      <w:r w:rsidR="00BF5D31">
        <w:rPr>
          <w:rFonts w:ascii="Times New Roman" w:eastAsia="Calibri" w:hAnsi="Times New Roman" w:cs="Times New Roman"/>
          <w:sz w:val="28"/>
          <w:szCs w:val="28"/>
        </w:rPr>
        <w:t xml:space="preserve">отраслей экономики </w:t>
      </w:r>
      <w:r w:rsidR="00BF5D31" w:rsidRPr="004D560D">
        <w:rPr>
          <w:rFonts w:ascii="Times New Roman" w:eastAsia="Calibri" w:hAnsi="Times New Roman" w:cs="Times New Roman"/>
          <w:sz w:val="28"/>
          <w:szCs w:val="28"/>
        </w:rPr>
        <w:t>и населения</w:t>
      </w:r>
      <w:r w:rsidR="00BF5D31">
        <w:rPr>
          <w:rFonts w:ascii="Times New Roman" w:eastAsia="Calibri" w:hAnsi="Times New Roman" w:cs="Times New Roman"/>
          <w:sz w:val="28"/>
          <w:szCs w:val="28"/>
        </w:rPr>
        <w:t>, в рамках которых си</w:t>
      </w:r>
      <w:r>
        <w:rPr>
          <w:rFonts w:ascii="Times New Roman CYR" w:hAnsi="Times New Roman CYR" w:cs="Times New Roman CYR"/>
          <w:sz w:val="28"/>
          <w:szCs w:val="28"/>
        </w:rPr>
        <w:t xml:space="preserve">стемообразующие организации, в том числе не относящиеся к </w:t>
      </w:r>
      <w:r>
        <w:rPr>
          <w:rFonts w:ascii="Times New Roman CYR" w:hAnsi="Times New Roman CYR" w:cs="Times New Roman CYR"/>
          <w:sz w:val="28"/>
          <w:szCs w:val="28"/>
        </w:rPr>
        <w:lastRenderedPageBreak/>
        <w:t xml:space="preserve">наиболее пострадавшим сферам деятельности, получили право получения </w:t>
      </w:r>
      <w:r w:rsidR="00BF5D31">
        <w:rPr>
          <w:rFonts w:ascii="Times New Roman CYR" w:hAnsi="Times New Roman CYR" w:cs="Times New Roman CYR"/>
          <w:sz w:val="28"/>
          <w:szCs w:val="28"/>
        </w:rPr>
        <w:t xml:space="preserve">мер </w:t>
      </w:r>
      <w:r>
        <w:rPr>
          <w:rFonts w:ascii="Times New Roman CYR" w:hAnsi="Times New Roman CYR" w:cs="Times New Roman CYR"/>
          <w:sz w:val="28"/>
          <w:szCs w:val="28"/>
        </w:rPr>
        <w:t>государственной поддержки</w:t>
      </w:r>
      <w:r>
        <w:rPr>
          <w:rStyle w:val="aa"/>
          <w:rFonts w:ascii="Times New Roman CYR" w:hAnsi="Times New Roman CYR" w:cs="Times New Roman CYR"/>
          <w:sz w:val="28"/>
          <w:szCs w:val="28"/>
        </w:rPr>
        <w:footnoteReference w:id="13"/>
      </w:r>
      <w:r>
        <w:rPr>
          <w:rFonts w:ascii="Times New Roman CYR" w:hAnsi="Times New Roman CYR" w:cs="Times New Roman CYR"/>
          <w:sz w:val="28"/>
          <w:szCs w:val="28"/>
        </w:rPr>
        <w:t>.</w:t>
      </w:r>
    </w:p>
    <w:p w:rsidR="000C0BDB" w:rsidRDefault="000C0BDB" w:rsidP="002456FF">
      <w:pPr>
        <w:spacing w:after="0" w:line="30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получения государственной поддержки системообразующая организация должна пройти оценку финансовой устойчивости (стресс-тест) на предмет нахождения в зоне риска</w:t>
      </w:r>
      <w:r>
        <w:rPr>
          <w:rStyle w:val="aa"/>
          <w:rFonts w:ascii="Times New Roman CYR" w:hAnsi="Times New Roman CYR" w:cs="Times New Roman CYR"/>
          <w:sz w:val="28"/>
          <w:szCs w:val="28"/>
        </w:rPr>
        <w:footnoteReference w:id="14"/>
      </w:r>
      <w:r>
        <w:rPr>
          <w:rFonts w:ascii="Times New Roman CYR" w:hAnsi="Times New Roman CYR" w:cs="Times New Roman CYR"/>
          <w:sz w:val="28"/>
          <w:szCs w:val="28"/>
        </w:rPr>
        <w:t>.</w:t>
      </w:r>
    </w:p>
    <w:p w:rsidR="007031D9" w:rsidRDefault="007031D9" w:rsidP="002456FF">
      <w:pPr>
        <w:spacing w:after="0" w:line="300" w:lineRule="auto"/>
        <w:ind w:firstLine="709"/>
        <w:jc w:val="both"/>
        <w:rPr>
          <w:rFonts w:ascii="Times New Roman" w:hAnsi="Times New Roman" w:cs="Times New Roman"/>
          <w:sz w:val="28"/>
        </w:rPr>
      </w:pPr>
      <w:r w:rsidRPr="007031D9">
        <w:rPr>
          <w:rFonts w:ascii="Times New Roman" w:hAnsi="Times New Roman" w:cs="Times New Roman"/>
          <w:sz w:val="28"/>
        </w:rPr>
        <w:t xml:space="preserve">Показатели стресс-теста системообразующих организаций </w:t>
      </w:r>
      <w:r>
        <w:rPr>
          <w:rFonts w:ascii="Times New Roman" w:hAnsi="Times New Roman" w:cs="Times New Roman"/>
          <w:sz w:val="28"/>
        </w:rPr>
        <w:t>структурированы в виде текущих и перспективных финансово-экономических показателей.</w:t>
      </w:r>
    </w:p>
    <w:p w:rsidR="007031D9" w:rsidRDefault="007031D9"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t>Текущие значения показателей определяются в отношении</w:t>
      </w:r>
      <w:r w:rsidRPr="007031D9">
        <w:rPr>
          <w:rFonts w:ascii="Times New Roman" w:hAnsi="Times New Roman" w:cs="Times New Roman"/>
          <w:sz w:val="28"/>
        </w:rPr>
        <w:t>:</w:t>
      </w:r>
      <w:r w:rsidR="00A84876">
        <w:rPr>
          <w:rFonts w:ascii="Times New Roman" w:hAnsi="Times New Roman" w:cs="Times New Roman"/>
          <w:sz w:val="28"/>
        </w:rPr>
        <w:t xml:space="preserve"> </w:t>
      </w:r>
      <w:r w:rsidRPr="007031D9">
        <w:rPr>
          <w:rFonts w:ascii="Times New Roman" w:hAnsi="Times New Roman" w:cs="Times New Roman"/>
          <w:sz w:val="28"/>
        </w:rPr>
        <w:t>среднесписочн</w:t>
      </w:r>
      <w:r>
        <w:rPr>
          <w:rFonts w:ascii="Times New Roman" w:hAnsi="Times New Roman" w:cs="Times New Roman"/>
          <w:sz w:val="28"/>
        </w:rPr>
        <w:t>ой</w:t>
      </w:r>
      <w:r w:rsidRPr="007031D9">
        <w:rPr>
          <w:rFonts w:ascii="Times New Roman" w:hAnsi="Times New Roman" w:cs="Times New Roman"/>
          <w:sz w:val="28"/>
        </w:rPr>
        <w:t xml:space="preserve"> численност</w:t>
      </w:r>
      <w:r>
        <w:rPr>
          <w:rFonts w:ascii="Times New Roman" w:hAnsi="Times New Roman" w:cs="Times New Roman"/>
          <w:sz w:val="28"/>
        </w:rPr>
        <w:t>и</w:t>
      </w:r>
      <w:r w:rsidRPr="007031D9">
        <w:rPr>
          <w:rFonts w:ascii="Times New Roman" w:hAnsi="Times New Roman" w:cs="Times New Roman"/>
          <w:sz w:val="28"/>
        </w:rPr>
        <w:t xml:space="preserve"> работников;</w:t>
      </w:r>
      <w:r w:rsidR="00A84876">
        <w:rPr>
          <w:rFonts w:ascii="Times New Roman" w:hAnsi="Times New Roman" w:cs="Times New Roman"/>
          <w:sz w:val="28"/>
        </w:rPr>
        <w:t xml:space="preserve"> </w:t>
      </w:r>
      <w:r w:rsidRPr="007031D9">
        <w:rPr>
          <w:rFonts w:ascii="Times New Roman" w:hAnsi="Times New Roman" w:cs="Times New Roman"/>
          <w:sz w:val="28"/>
        </w:rPr>
        <w:t>общ</w:t>
      </w:r>
      <w:r>
        <w:rPr>
          <w:rFonts w:ascii="Times New Roman" w:hAnsi="Times New Roman" w:cs="Times New Roman"/>
          <w:sz w:val="28"/>
        </w:rPr>
        <w:t>его</w:t>
      </w:r>
      <w:r w:rsidRPr="007031D9">
        <w:rPr>
          <w:rFonts w:ascii="Times New Roman" w:hAnsi="Times New Roman" w:cs="Times New Roman"/>
          <w:sz w:val="28"/>
        </w:rPr>
        <w:t xml:space="preserve"> объем</w:t>
      </w:r>
      <w:r>
        <w:rPr>
          <w:rFonts w:ascii="Times New Roman" w:hAnsi="Times New Roman" w:cs="Times New Roman"/>
          <w:sz w:val="28"/>
        </w:rPr>
        <w:t>а</w:t>
      </w:r>
      <w:r w:rsidRPr="007031D9">
        <w:rPr>
          <w:rFonts w:ascii="Times New Roman" w:hAnsi="Times New Roman" w:cs="Times New Roman"/>
          <w:sz w:val="28"/>
        </w:rPr>
        <w:t xml:space="preserve"> доходов;</w:t>
      </w:r>
      <w:r w:rsidR="00A84876">
        <w:rPr>
          <w:rFonts w:ascii="Times New Roman" w:hAnsi="Times New Roman" w:cs="Times New Roman"/>
          <w:sz w:val="28"/>
        </w:rPr>
        <w:t xml:space="preserve"> </w:t>
      </w:r>
      <w:r w:rsidRPr="007031D9">
        <w:rPr>
          <w:rFonts w:ascii="Times New Roman" w:hAnsi="Times New Roman" w:cs="Times New Roman"/>
          <w:sz w:val="28"/>
        </w:rPr>
        <w:t>объем</w:t>
      </w:r>
      <w:r>
        <w:rPr>
          <w:rFonts w:ascii="Times New Roman" w:hAnsi="Times New Roman" w:cs="Times New Roman"/>
          <w:sz w:val="28"/>
        </w:rPr>
        <w:t>ов</w:t>
      </w:r>
      <w:r w:rsidRPr="007031D9">
        <w:rPr>
          <w:rFonts w:ascii="Times New Roman" w:hAnsi="Times New Roman" w:cs="Times New Roman"/>
          <w:sz w:val="28"/>
        </w:rPr>
        <w:t xml:space="preserve"> прибыли после налогообложения;</w:t>
      </w:r>
      <w:r w:rsidR="00A84876">
        <w:rPr>
          <w:rFonts w:ascii="Times New Roman" w:hAnsi="Times New Roman" w:cs="Times New Roman"/>
          <w:sz w:val="28"/>
        </w:rPr>
        <w:t xml:space="preserve"> </w:t>
      </w:r>
      <w:r w:rsidRPr="007031D9">
        <w:rPr>
          <w:rFonts w:ascii="Times New Roman" w:hAnsi="Times New Roman" w:cs="Times New Roman"/>
          <w:sz w:val="28"/>
        </w:rPr>
        <w:t>объем</w:t>
      </w:r>
      <w:r>
        <w:rPr>
          <w:rFonts w:ascii="Times New Roman" w:hAnsi="Times New Roman" w:cs="Times New Roman"/>
          <w:sz w:val="28"/>
        </w:rPr>
        <w:t>ов</w:t>
      </w:r>
      <w:r w:rsidRPr="007031D9">
        <w:rPr>
          <w:rFonts w:ascii="Times New Roman" w:hAnsi="Times New Roman" w:cs="Times New Roman"/>
          <w:sz w:val="28"/>
        </w:rPr>
        <w:t xml:space="preserve"> ликвидных активов</w:t>
      </w:r>
      <w:r>
        <w:rPr>
          <w:rFonts w:ascii="Times New Roman" w:hAnsi="Times New Roman" w:cs="Times New Roman"/>
          <w:sz w:val="28"/>
        </w:rPr>
        <w:t>.</w:t>
      </w:r>
    </w:p>
    <w:p w:rsidR="007031D9" w:rsidRDefault="007031D9"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t>Прогнозирование изменений проводится в отношении следующих показателей:</w:t>
      </w:r>
    </w:p>
    <w:p w:rsidR="006A14C2" w:rsidRDefault="006A14C2"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t>общий прогнозируемый объем доходов;</w:t>
      </w:r>
    </w:p>
    <w:p w:rsidR="007031D9" w:rsidRPr="007031D9" w:rsidRDefault="006A14C2"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t>объемы</w:t>
      </w:r>
      <w:r w:rsidR="007031D9" w:rsidRPr="007031D9">
        <w:rPr>
          <w:rFonts w:ascii="Times New Roman" w:hAnsi="Times New Roman" w:cs="Times New Roman"/>
          <w:sz w:val="28"/>
        </w:rPr>
        <w:t xml:space="preserve"> расходов на оплату труда и перечисление обязательных платежей в государственные внебюджетные фонды;</w:t>
      </w:r>
    </w:p>
    <w:p w:rsidR="007031D9" w:rsidRPr="007031D9" w:rsidRDefault="007031D9" w:rsidP="002456FF">
      <w:pPr>
        <w:spacing w:after="0" w:line="300" w:lineRule="auto"/>
        <w:ind w:firstLine="709"/>
        <w:jc w:val="both"/>
        <w:rPr>
          <w:rFonts w:ascii="Times New Roman" w:hAnsi="Times New Roman" w:cs="Times New Roman"/>
          <w:sz w:val="28"/>
        </w:rPr>
      </w:pPr>
      <w:r w:rsidRPr="007031D9">
        <w:rPr>
          <w:rFonts w:ascii="Times New Roman" w:hAnsi="Times New Roman" w:cs="Times New Roman"/>
          <w:sz w:val="28"/>
        </w:rPr>
        <w:t>совокупные объемы выплат займодавцам, кредиторам, лизингодателям;</w:t>
      </w:r>
    </w:p>
    <w:p w:rsidR="007031D9" w:rsidRPr="007031D9" w:rsidRDefault="007031D9" w:rsidP="002456FF">
      <w:pPr>
        <w:spacing w:after="0" w:line="300" w:lineRule="auto"/>
        <w:ind w:firstLine="709"/>
        <w:jc w:val="both"/>
        <w:rPr>
          <w:rFonts w:ascii="Times New Roman" w:hAnsi="Times New Roman" w:cs="Times New Roman"/>
          <w:sz w:val="28"/>
        </w:rPr>
      </w:pPr>
      <w:r w:rsidRPr="007031D9">
        <w:rPr>
          <w:rFonts w:ascii="Times New Roman" w:hAnsi="Times New Roman" w:cs="Times New Roman"/>
          <w:sz w:val="28"/>
        </w:rPr>
        <w:t>объемы оплаты энергетических ресурсов и коммунальных услуг;</w:t>
      </w:r>
    </w:p>
    <w:p w:rsidR="007031D9" w:rsidRPr="007031D9" w:rsidRDefault="007031D9" w:rsidP="002456FF">
      <w:pPr>
        <w:spacing w:after="0" w:line="300" w:lineRule="auto"/>
        <w:ind w:firstLine="709"/>
        <w:jc w:val="both"/>
        <w:rPr>
          <w:rFonts w:ascii="Times New Roman" w:hAnsi="Times New Roman" w:cs="Times New Roman"/>
          <w:sz w:val="28"/>
        </w:rPr>
      </w:pPr>
      <w:r w:rsidRPr="007031D9">
        <w:rPr>
          <w:rFonts w:ascii="Times New Roman" w:hAnsi="Times New Roman" w:cs="Times New Roman"/>
          <w:sz w:val="28"/>
        </w:rPr>
        <w:t>объемы расходов на обслуживание основных средств;</w:t>
      </w:r>
    </w:p>
    <w:p w:rsidR="007031D9" w:rsidRPr="007031D9" w:rsidRDefault="007031D9" w:rsidP="002456FF">
      <w:pPr>
        <w:spacing w:after="0" w:line="300" w:lineRule="auto"/>
        <w:ind w:firstLine="709"/>
        <w:jc w:val="both"/>
        <w:rPr>
          <w:rFonts w:ascii="Times New Roman" w:hAnsi="Times New Roman" w:cs="Times New Roman"/>
          <w:sz w:val="28"/>
        </w:rPr>
      </w:pPr>
      <w:r w:rsidRPr="007031D9">
        <w:rPr>
          <w:rFonts w:ascii="Times New Roman" w:hAnsi="Times New Roman" w:cs="Times New Roman"/>
          <w:sz w:val="28"/>
        </w:rPr>
        <w:t>прочие платежи для обеспечения функционирования организации;</w:t>
      </w:r>
    </w:p>
    <w:p w:rsidR="007031D9" w:rsidRPr="007031D9" w:rsidRDefault="007031D9" w:rsidP="002456FF">
      <w:pPr>
        <w:spacing w:after="0" w:line="300" w:lineRule="auto"/>
        <w:ind w:firstLine="709"/>
        <w:jc w:val="both"/>
        <w:rPr>
          <w:rFonts w:ascii="Times New Roman" w:hAnsi="Times New Roman" w:cs="Times New Roman"/>
          <w:sz w:val="28"/>
        </w:rPr>
      </w:pPr>
      <w:r w:rsidRPr="007031D9">
        <w:rPr>
          <w:rFonts w:ascii="Times New Roman" w:hAnsi="Times New Roman" w:cs="Times New Roman"/>
          <w:sz w:val="28"/>
        </w:rPr>
        <w:t>объемы налоговых и иных обязательных платежей;</w:t>
      </w:r>
    </w:p>
    <w:p w:rsidR="007031D9" w:rsidRPr="007031D9" w:rsidRDefault="007031D9" w:rsidP="002456FF">
      <w:pPr>
        <w:spacing w:after="0" w:line="300" w:lineRule="auto"/>
        <w:ind w:firstLine="709"/>
        <w:jc w:val="both"/>
        <w:rPr>
          <w:rFonts w:ascii="Times New Roman" w:hAnsi="Times New Roman" w:cs="Times New Roman"/>
          <w:sz w:val="28"/>
        </w:rPr>
      </w:pPr>
      <w:r w:rsidRPr="007031D9">
        <w:rPr>
          <w:rFonts w:ascii="Times New Roman" w:hAnsi="Times New Roman" w:cs="Times New Roman"/>
          <w:sz w:val="28"/>
        </w:rPr>
        <w:t>совокупные объемы выплат для возврата сумм займа по договорам займа, возврата предоставленных кредитов;</w:t>
      </w:r>
    </w:p>
    <w:p w:rsidR="00F62E5E" w:rsidRDefault="007031D9" w:rsidP="002456FF">
      <w:pPr>
        <w:spacing w:after="0" w:line="300" w:lineRule="auto"/>
        <w:ind w:firstLine="709"/>
        <w:jc w:val="both"/>
        <w:rPr>
          <w:rFonts w:ascii="Times New Roman" w:hAnsi="Times New Roman" w:cs="Times New Roman"/>
          <w:sz w:val="28"/>
        </w:rPr>
      </w:pPr>
      <w:r w:rsidRPr="007031D9">
        <w:rPr>
          <w:rFonts w:ascii="Times New Roman" w:hAnsi="Times New Roman" w:cs="Times New Roman"/>
          <w:sz w:val="28"/>
        </w:rPr>
        <w:t>объемы выплат по договорам аренды и финансовой аренды (лизинга).</w:t>
      </w:r>
    </w:p>
    <w:p w:rsidR="006A14C2" w:rsidRDefault="00F97BDC"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t xml:space="preserve">Сравнительный анализ показателей мониторинга финансово-экономического состояния и показателей стресс-теста на предмет </w:t>
      </w:r>
      <w:r>
        <w:rPr>
          <w:rFonts w:ascii="Times New Roman" w:hAnsi="Times New Roman" w:cs="Times New Roman"/>
          <w:sz w:val="28"/>
        </w:rPr>
        <w:lastRenderedPageBreak/>
        <w:t xml:space="preserve">нахождения </w:t>
      </w:r>
      <w:r w:rsidR="00347CF5">
        <w:rPr>
          <w:rFonts w:ascii="Times New Roman" w:hAnsi="Times New Roman" w:cs="Times New Roman"/>
          <w:sz w:val="28"/>
        </w:rPr>
        <w:t xml:space="preserve">системообразующей организации </w:t>
      </w:r>
      <w:r>
        <w:rPr>
          <w:rFonts w:ascii="Times New Roman" w:hAnsi="Times New Roman" w:cs="Times New Roman"/>
          <w:sz w:val="28"/>
        </w:rPr>
        <w:t>в зоне риска свидетельствует о следующем:</w:t>
      </w:r>
    </w:p>
    <w:p w:rsidR="00F97BDC" w:rsidRDefault="00F97BDC"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t>обе группы показателей позволяют оценивать ликвидность, уровень долговой нагрузки, рентабельность и движение рабочей силы в системообразующих организациях;</w:t>
      </w:r>
    </w:p>
    <w:p w:rsidR="00A84876" w:rsidRDefault="00A84876" w:rsidP="002456FF">
      <w:pPr>
        <w:spacing w:after="0" w:line="300" w:lineRule="auto"/>
        <w:ind w:firstLine="709"/>
        <w:jc w:val="both"/>
        <w:rPr>
          <w:rFonts w:ascii="Times New Roman" w:hAnsi="Times New Roman" w:cs="Times New Roman"/>
          <w:sz w:val="28"/>
        </w:rPr>
      </w:pPr>
      <w:r w:rsidRPr="00A84876">
        <w:rPr>
          <w:rFonts w:ascii="Times New Roman" w:hAnsi="Times New Roman" w:cs="Times New Roman"/>
          <w:sz w:val="28"/>
        </w:rPr>
        <w:t>в показателях стресс-теста детализиру</w:t>
      </w:r>
      <w:r w:rsidR="00347CF5">
        <w:rPr>
          <w:rFonts w:ascii="Times New Roman" w:hAnsi="Times New Roman" w:cs="Times New Roman"/>
          <w:sz w:val="28"/>
        </w:rPr>
        <w:t>е</w:t>
      </w:r>
      <w:r w:rsidRPr="00A84876">
        <w:rPr>
          <w:rFonts w:ascii="Times New Roman" w:hAnsi="Times New Roman" w:cs="Times New Roman"/>
          <w:sz w:val="28"/>
        </w:rPr>
        <w:t>тся структура расходов и чистого оборотного капитала;</w:t>
      </w:r>
    </w:p>
    <w:p w:rsidR="00347CF5" w:rsidRPr="00A84876" w:rsidRDefault="00347CF5"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t xml:space="preserve"> в структуре показателей  преобладают </w:t>
      </w:r>
      <w:r w:rsidRPr="00877418">
        <w:rPr>
          <w:rFonts w:ascii="Times New Roman" w:hAnsi="Times New Roman" w:cs="Times New Roman"/>
          <w:sz w:val="28"/>
        </w:rPr>
        <w:t>количественные</w:t>
      </w:r>
      <w:r>
        <w:rPr>
          <w:rFonts w:ascii="Times New Roman" w:hAnsi="Times New Roman" w:cs="Times New Roman"/>
          <w:sz w:val="28"/>
        </w:rPr>
        <w:t xml:space="preserve"> критерии</w:t>
      </w:r>
      <w:r>
        <w:rPr>
          <w:rStyle w:val="aa"/>
          <w:rFonts w:ascii="Times New Roman" w:hAnsi="Times New Roman" w:cs="Times New Roman"/>
          <w:sz w:val="28"/>
        </w:rPr>
        <w:footnoteReference w:id="15"/>
      </w:r>
      <w:r>
        <w:rPr>
          <w:rFonts w:ascii="Times New Roman" w:hAnsi="Times New Roman" w:cs="Times New Roman"/>
          <w:sz w:val="28"/>
        </w:rPr>
        <w:t>;</w:t>
      </w:r>
    </w:p>
    <w:p w:rsidR="00A84876" w:rsidRDefault="00A84876" w:rsidP="002456FF">
      <w:pPr>
        <w:spacing w:after="0" w:line="300" w:lineRule="auto"/>
        <w:ind w:firstLine="709"/>
        <w:jc w:val="both"/>
        <w:rPr>
          <w:rFonts w:ascii="Times New Roman" w:hAnsi="Times New Roman" w:cs="Times New Roman"/>
          <w:sz w:val="28"/>
        </w:rPr>
      </w:pPr>
      <w:r w:rsidRPr="00877418">
        <w:rPr>
          <w:rFonts w:ascii="Times New Roman" w:hAnsi="Times New Roman" w:cs="Times New Roman"/>
          <w:sz w:val="28"/>
        </w:rPr>
        <w:t>не оцениваются</w:t>
      </w:r>
      <w:r w:rsidRPr="00A84876">
        <w:rPr>
          <w:rFonts w:ascii="Times New Roman" w:hAnsi="Times New Roman" w:cs="Times New Roman"/>
          <w:sz w:val="28"/>
        </w:rPr>
        <w:t xml:space="preserve"> </w:t>
      </w:r>
      <w:r>
        <w:rPr>
          <w:rFonts w:ascii="Times New Roman" w:hAnsi="Times New Roman" w:cs="Times New Roman"/>
          <w:sz w:val="28"/>
        </w:rPr>
        <w:t>подверженность рискам концентрации бизнеса, корпоративным рискам, внутренним и внешним стресс-факторам</w:t>
      </w:r>
      <w:r w:rsidR="007E65A9">
        <w:rPr>
          <w:rFonts w:ascii="Times New Roman" w:hAnsi="Times New Roman" w:cs="Times New Roman"/>
          <w:sz w:val="28"/>
        </w:rPr>
        <w:t>, факторам поддержки</w:t>
      </w:r>
      <w:r w:rsidR="00D45500">
        <w:rPr>
          <w:rStyle w:val="aa"/>
          <w:rFonts w:ascii="Times New Roman" w:hAnsi="Times New Roman" w:cs="Times New Roman"/>
          <w:sz w:val="28"/>
        </w:rPr>
        <w:footnoteReference w:id="16"/>
      </w:r>
      <w:r>
        <w:rPr>
          <w:rFonts w:ascii="Times New Roman" w:hAnsi="Times New Roman" w:cs="Times New Roman"/>
          <w:sz w:val="28"/>
        </w:rPr>
        <w:t>.</w:t>
      </w:r>
    </w:p>
    <w:p w:rsidR="004E6267" w:rsidRDefault="00264889"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объема и сроков предоставления господдержки в соответствии с постановлением Правительства Российской Федерации от </w:t>
      </w:r>
      <w:r w:rsidR="004E6267">
        <w:rPr>
          <w:rFonts w:ascii="Times New Roman" w:hAnsi="Times New Roman" w:cs="Times New Roman"/>
          <w:sz w:val="28"/>
          <w:szCs w:val="28"/>
        </w:rPr>
        <w:t>10 мая 2020 г. № 651 «О мерах поддержки системообразующих организаций» системообразующие организации, отнесенные по результатам стресс-теста к самой высокой или к высокой категории риска, проводят анализ финансово-хозяйственной деятельности.</w:t>
      </w:r>
    </w:p>
    <w:p w:rsidR="00800EFA" w:rsidRDefault="004E6267"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приказе </w:t>
      </w:r>
      <w:r w:rsidR="00800EFA">
        <w:rPr>
          <w:rFonts w:ascii="Times New Roman" w:hAnsi="Times New Roman" w:cs="Times New Roman"/>
          <w:sz w:val="28"/>
          <w:szCs w:val="28"/>
        </w:rPr>
        <w:t>Министерства экономического развития Российской Федерации от 13 мая 2020 г. № 278 «Об утверждении Порядка проведения анализа финансово-хозяйственной деятельности системообразующей организации российской экономики, претендующей на предоставление в 2020 г. мер государственной поддержки</w:t>
      </w:r>
      <w:proofErr w:type="gramStart"/>
      <w:r w:rsidR="00800EFA">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указаны </w:t>
      </w:r>
      <w:r w:rsidR="00800EFA">
        <w:rPr>
          <w:rFonts w:ascii="Times New Roman" w:hAnsi="Times New Roman" w:cs="Times New Roman"/>
          <w:sz w:val="28"/>
          <w:szCs w:val="28"/>
        </w:rPr>
        <w:t>прогнозные показатели анализа финансово-хозяйственной деятельности системообразующих организаций.</w:t>
      </w:r>
      <w:r>
        <w:rPr>
          <w:rFonts w:ascii="Times New Roman" w:hAnsi="Times New Roman" w:cs="Times New Roman"/>
          <w:sz w:val="28"/>
          <w:szCs w:val="28"/>
        </w:rPr>
        <w:t xml:space="preserve"> </w:t>
      </w:r>
    </w:p>
    <w:p w:rsidR="00BC458F" w:rsidRDefault="00264889"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00EFA">
        <w:rPr>
          <w:rFonts w:ascii="Times New Roman" w:hAnsi="Times New Roman" w:cs="Times New Roman"/>
          <w:sz w:val="28"/>
          <w:szCs w:val="28"/>
        </w:rPr>
        <w:t>Половина (6 из 12) показателей анализа финансово-хозяйственной деятельности совпадает с показателями стресс-теста.</w:t>
      </w:r>
    </w:p>
    <w:p w:rsidR="00800EFA" w:rsidRDefault="00800EFA"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В отличие от показателей стресс-теста детализируются не только расходы, но и доходы организации, а также изменения показателей оборотных активов.</w:t>
      </w:r>
    </w:p>
    <w:p w:rsidR="00800EFA" w:rsidRDefault="00800EFA"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Введены </w:t>
      </w:r>
      <w:r w:rsidR="008F6566">
        <w:rPr>
          <w:rFonts w:ascii="Times New Roman" w:hAnsi="Times New Roman" w:cs="Times New Roman"/>
          <w:sz w:val="28"/>
          <w:szCs w:val="28"/>
        </w:rPr>
        <w:t>новые показатели «Оценка воздействия на объемы доходов и расходов системообразующей организации мер государственного регулирования» и «Объемы выплат акционерам и иным участникам организации».</w:t>
      </w:r>
    </w:p>
    <w:p w:rsidR="00FB752F" w:rsidRDefault="00FB752F"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в методических документах международных</w:t>
      </w:r>
      <w:r w:rsidRPr="00FB752F">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Standard</w:t>
      </w:r>
      <w:r w:rsidRPr="00FB752F">
        <w:rPr>
          <w:rFonts w:ascii="Times New Roman" w:hAnsi="Times New Roman" w:cs="Times New Roman"/>
          <w:sz w:val="28"/>
          <w:szCs w:val="28"/>
        </w:rPr>
        <w:t xml:space="preserve"> &amp;</w:t>
      </w:r>
      <w:proofErr w:type="spellStart"/>
      <w:r>
        <w:rPr>
          <w:rFonts w:ascii="Times New Roman" w:hAnsi="Times New Roman" w:cs="Times New Roman"/>
          <w:sz w:val="28"/>
          <w:szCs w:val="28"/>
          <w:lang w:val="en-US"/>
        </w:rPr>
        <w:t>Poors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Moodys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Investors</w:t>
      </w:r>
      <w:r w:rsidRPr="00FB752F">
        <w:rPr>
          <w:rFonts w:ascii="Times New Roman" w:hAnsi="Times New Roman" w:cs="Times New Roman"/>
          <w:sz w:val="28"/>
          <w:szCs w:val="28"/>
        </w:rPr>
        <w:t xml:space="preserve"> </w:t>
      </w:r>
      <w:r>
        <w:rPr>
          <w:rFonts w:ascii="Times New Roman" w:hAnsi="Times New Roman" w:cs="Times New Roman"/>
          <w:sz w:val="28"/>
          <w:szCs w:val="28"/>
          <w:lang w:val="en-US"/>
        </w:rPr>
        <w:t>Service</w:t>
      </w:r>
      <w:r>
        <w:rPr>
          <w:rFonts w:ascii="Times New Roman" w:hAnsi="Times New Roman" w:cs="Times New Roman"/>
          <w:sz w:val="28"/>
          <w:szCs w:val="28"/>
        </w:rPr>
        <w:t>,</w:t>
      </w:r>
      <w:r w:rsidRPr="00FB752F">
        <w:rPr>
          <w:rFonts w:ascii="Times New Roman" w:hAnsi="Times New Roman" w:cs="Times New Roman"/>
          <w:sz w:val="28"/>
          <w:szCs w:val="28"/>
        </w:rPr>
        <w:t xml:space="preserve"> </w:t>
      </w:r>
      <w:r>
        <w:rPr>
          <w:rFonts w:ascii="Times New Roman" w:hAnsi="Times New Roman" w:cs="Times New Roman"/>
          <w:sz w:val="28"/>
          <w:szCs w:val="28"/>
          <w:lang w:val="en-US"/>
        </w:rPr>
        <w:t>Fitch</w:t>
      </w:r>
      <w:r w:rsidRPr="00FB752F">
        <w:rPr>
          <w:rFonts w:ascii="Times New Roman" w:hAnsi="Times New Roman" w:cs="Times New Roman"/>
          <w:sz w:val="28"/>
          <w:szCs w:val="28"/>
        </w:rPr>
        <w:t xml:space="preserve"> </w:t>
      </w:r>
      <w:r>
        <w:rPr>
          <w:rFonts w:ascii="Times New Roman" w:hAnsi="Times New Roman" w:cs="Times New Roman"/>
          <w:sz w:val="28"/>
          <w:szCs w:val="28"/>
          <w:lang w:val="en-US"/>
        </w:rPr>
        <w:t>Ratings</w:t>
      </w:r>
      <w:r w:rsidRPr="00FB752F">
        <w:rPr>
          <w:rFonts w:ascii="Times New Roman" w:hAnsi="Times New Roman" w:cs="Times New Roman"/>
          <w:sz w:val="28"/>
          <w:szCs w:val="28"/>
        </w:rPr>
        <w:t>)</w:t>
      </w:r>
      <w:r>
        <w:rPr>
          <w:rFonts w:ascii="Times New Roman" w:hAnsi="Times New Roman" w:cs="Times New Roman"/>
          <w:sz w:val="28"/>
          <w:szCs w:val="28"/>
        </w:rPr>
        <w:t xml:space="preserve"> и национальных рейтинговых агентств,</w:t>
      </w:r>
      <w:r w:rsidRPr="00FB752F">
        <w:rPr>
          <w:rFonts w:ascii="Times New Roman" w:hAnsi="Times New Roman" w:cs="Times New Roman"/>
          <w:sz w:val="28"/>
          <w:szCs w:val="28"/>
        </w:rPr>
        <w:t xml:space="preserve"> </w:t>
      </w:r>
      <w:r>
        <w:rPr>
          <w:rFonts w:ascii="Times New Roman" w:hAnsi="Times New Roman" w:cs="Times New Roman"/>
          <w:sz w:val="28"/>
          <w:szCs w:val="28"/>
        </w:rPr>
        <w:t>аккредитованных Банком России (</w:t>
      </w:r>
      <w:r w:rsidR="003E37D5">
        <w:rPr>
          <w:rFonts w:ascii="Times New Roman" w:hAnsi="Times New Roman" w:cs="Times New Roman"/>
          <w:sz w:val="28"/>
          <w:szCs w:val="28"/>
        </w:rPr>
        <w:t>«</w:t>
      </w:r>
      <w:r>
        <w:rPr>
          <w:rFonts w:ascii="Times New Roman" w:hAnsi="Times New Roman" w:cs="Times New Roman"/>
          <w:sz w:val="28"/>
          <w:szCs w:val="28"/>
        </w:rPr>
        <w:t>Эксперт РА</w:t>
      </w:r>
      <w:r w:rsidR="003E37D5">
        <w:rPr>
          <w:rFonts w:ascii="Times New Roman" w:hAnsi="Times New Roman" w:cs="Times New Roman"/>
          <w:sz w:val="28"/>
          <w:szCs w:val="28"/>
        </w:rPr>
        <w:t>»</w:t>
      </w:r>
      <w:r>
        <w:rPr>
          <w:rFonts w:ascii="Times New Roman" w:hAnsi="Times New Roman" w:cs="Times New Roman"/>
          <w:sz w:val="28"/>
          <w:szCs w:val="28"/>
        </w:rPr>
        <w:t>, Аналитическое кредитное рейтинговое агентство</w:t>
      </w:r>
      <w:r w:rsidR="003E37D5">
        <w:rPr>
          <w:rFonts w:ascii="Times New Roman" w:hAnsi="Times New Roman" w:cs="Times New Roman"/>
          <w:sz w:val="28"/>
          <w:szCs w:val="28"/>
        </w:rPr>
        <w:t xml:space="preserve"> «АКРА»</w:t>
      </w:r>
      <w:r>
        <w:rPr>
          <w:rFonts w:ascii="Times New Roman" w:hAnsi="Times New Roman" w:cs="Times New Roman"/>
          <w:sz w:val="28"/>
          <w:szCs w:val="28"/>
        </w:rPr>
        <w:t xml:space="preserve">) в качестве обязательных показателей оценки финансовой устойчивости и кредитоспособности организаций </w:t>
      </w:r>
      <w:r w:rsidR="003E37D5">
        <w:rPr>
          <w:rFonts w:ascii="Times New Roman" w:hAnsi="Times New Roman" w:cs="Times New Roman"/>
          <w:sz w:val="28"/>
          <w:szCs w:val="28"/>
        </w:rPr>
        <w:t xml:space="preserve">дополнительно </w:t>
      </w:r>
      <w:r>
        <w:rPr>
          <w:rFonts w:ascii="Times New Roman" w:hAnsi="Times New Roman" w:cs="Times New Roman"/>
          <w:sz w:val="28"/>
          <w:szCs w:val="28"/>
        </w:rPr>
        <w:t>выделяются:</w:t>
      </w:r>
    </w:p>
    <w:p w:rsidR="00FB752F" w:rsidRDefault="00FB752F"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сложность и прозрачность</w:t>
      </w:r>
      <w:r w:rsidR="00621065">
        <w:rPr>
          <w:rFonts w:ascii="Times New Roman" w:hAnsi="Times New Roman" w:cs="Times New Roman"/>
          <w:sz w:val="28"/>
          <w:szCs w:val="28"/>
        </w:rPr>
        <w:t xml:space="preserve"> (</w:t>
      </w:r>
      <w:proofErr w:type="spellStart"/>
      <w:r w:rsidR="00621065">
        <w:rPr>
          <w:rFonts w:ascii="Times New Roman" w:hAnsi="Times New Roman" w:cs="Times New Roman"/>
          <w:sz w:val="28"/>
          <w:szCs w:val="28"/>
        </w:rPr>
        <w:t>транспарентность</w:t>
      </w:r>
      <w:proofErr w:type="spellEnd"/>
      <w:r w:rsidR="00621065">
        <w:rPr>
          <w:rFonts w:ascii="Times New Roman" w:hAnsi="Times New Roman" w:cs="Times New Roman"/>
          <w:sz w:val="28"/>
          <w:szCs w:val="28"/>
        </w:rPr>
        <w:t>)</w:t>
      </w:r>
      <w:r>
        <w:rPr>
          <w:rFonts w:ascii="Times New Roman" w:hAnsi="Times New Roman" w:cs="Times New Roman"/>
          <w:sz w:val="28"/>
          <w:szCs w:val="28"/>
        </w:rPr>
        <w:t xml:space="preserve"> структуры собственности организации</w:t>
      </w:r>
      <w:r w:rsidR="00226040">
        <w:rPr>
          <w:rFonts w:ascii="Times New Roman" w:hAnsi="Times New Roman" w:cs="Times New Roman"/>
          <w:sz w:val="28"/>
          <w:szCs w:val="28"/>
        </w:rPr>
        <w:t>, защищенность активов</w:t>
      </w:r>
      <w:r w:rsidR="004D1479">
        <w:rPr>
          <w:rStyle w:val="aa"/>
          <w:rFonts w:ascii="Times New Roman" w:hAnsi="Times New Roman" w:cs="Times New Roman"/>
          <w:sz w:val="28"/>
          <w:szCs w:val="28"/>
        </w:rPr>
        <w:footnoteReference w:id="17"/>
      </w:r>
      <w:r>
        <w:rPr>
          <w:rFonts w:ascii="Times New Roman" w:hAnsi="Times New Roman" w:cs="Times New Roman"/>
          <w:sz w:val="28"/>
          <w:szCs w:val="28"/>
        </w:rPr>
        <w:t>;</w:t>
      </w:r>
    </w:p>
    <w:p w:rsidR="00FB752F" w:rsidRDefault="00FB752F"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качество управления и риск-менеджмента</w:t>
      </w:r>
      <w:r w:rsidR="004D1479">
        <w:rPr>
          <w:rStyle w:val="aa"/>
          <w:rFonts w:ascii="Times New Roman" w:hAnsi="Times New Roman" w:cs="Times New Roman"/>
          <w:sz w:val="28"/>
          <w:szCs w:val="28"/>
        </w:rPr>
        <w:footnoteReference w:id="18"/>
      </w:r>
      <w:r>
        <w:rPr>
          <w:rFonts w:ascii="Times New Roman" w:hAnsi="Times New Roman" w:cs="Times New Roman"/>
          <w:sz w:val="28"/>
          <w:szCs w:val="28"/>
        </w:rPr>
        <w:t>;</w:t>
      </w:r>
    </w:p>
    <w:p w:rsidR="00FB752F" w:rsidRDefault="00FB752F"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внутренние и внешние стресс факторы;</w:t>
      </w:r>
    </w:p>
    <w:p w:rsidR="00FB752F" w:rsidRDefault="00FB752F"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внутренние и внешние факторы поддержки</w:t>
      </w:r>
      <w:r w:rsidR="00800EFA">
        <w:rPr>
          <w:rStyle w:val="aa"/>
          <w:rFonts w:ascii="Times New Roman" w:hAnsi="Times New Roman" w:cs="Times New Roman"/>
          <w:sz w:val="28"/>
          <w:szCs w:val="28"/>
        </w:rPr>
        <w:footnoteReference w:id="19"/>
      </w:r>
      <w:r>
        <w:rPr>
          <w:rFonts w:ascii="Times New Roman" w:hAnsi="Times New Roman" w:cs="Times New Roman"/>
          <w:sz w:val="28"/>
          <w:szCs w:val="28"/>
        </w:rPr>
        <w:t>.</w:t>
      </w:r>
    </w:p>
    <w:p w:rsidR="00E46CD3" w:rsidRDefault="004141A7"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Национальной оценки рисков легализации (отмывания) преступных доходов, </w:t>
      </w:r>
      <w:r w:rsidR="00BF0E89">
        <w:rPr>
          <w:rFonts w:ascii="Times New Roman" w:hAnsi="Times New Roman" w:cs="Times New Roman"/>
          <w:sz w:val="28"/>
          <w:szCs w:val="28"/>
        </w:rPr>
        <w:t>а также экспертным оценкам</w:t>
      </w:r>
      <w:r w:rsidR="003675C1">
        <w:rPr>
          <w:rFonts w:ascii="Times New Roman" w:hAnsi="Times New Roman" w:cs="Times New Roman"/>
          <w:sz w:val="28"/>
          <w:szCs w:val="28"/>
        </w:rPr>
        <w:t xml:space="preserve"> российских национальных рейтинговых агентств, </w:t>
      </w:r>
      <w:r>
        <w:rPr>
          <w:rFonts w:ascii="Times New Roman" w:hAnsi="Times New Roman" w:cs="Times New Roman"/>
          <w:sz w:val="28"/>
          <w:szCs w:val="28"/>
        </w:rPr>
        <w:t>з</w:t>
      </w:r>
      <w:r w:rsidR="00723935">
        <w:rPr>
          <w:rFonts w:ascii="Times New Roman" w:hAnsi="Times New Roman" w:cs="Times New Roman"/>
          <w:sz w:val="28"/>
          <w:szCs w:val="28"/>
        </w:rPr>
        <w:t>апутанная</w:t>
      </w:r>
      <w:r w:rsidR="00210DF4">
        <w:rPr>
          <w:rFonts w:ascii="Times New Roman" w:hAnsi="Times New Roman" w:cs="Times New Roman"/>
          <w:sz w:val="28"/>
          <w:szCs w:val="28"/>
        </w:rPr>
        <w:t xml:space="preserve"> </w:t>
      </w:r>
      <w:r w:rsidR="00723935">
        <w:rPr>
          <w:rFonts w:ascii="Times New Roman" w:hAnsi="Times New Roman" w:cs="Times New Roman"/>
          <w:sz w:val="28"/>
          <w:szCs w:val="28"/>
        </w:rPr>
        <w:t xml:space="preserve">и непрозрачная структура собственности, сложные корпоративные цепочки взаимосвязанных юридических лиц и структур разделения владения и контроля (трасты, </w:t>
      </w:r>
      <w:proofErr w:type="spellStart"/>
      <w:r w:rsidR="00723935">
        <w:rPr>
          <w:rFonts w:ascii="Times New Roman" w:hAnsi="Times New Roman" w:cs="Times New Roman"/>
          <w:sz w:val="28"/>
          <w:szCs w:val="28"/>
        </w:rPr>
        <w:t>штихтинги</w:t>
      </w:r>
      <w:proofErr w:type="spellEnd"/>
      <w:r w:rsidR="00723935">
        <w:rPr>
          <w:rFonts w:ascii="Times New Roman" w:hAnsi="Times New Roman" w:cs="Times New Roman"/>
          <w:sz w:val="28"/>
          <w:szCs w:val="28"/>
        </w:rPr>
        <w:t xml:space="preserve">, </w:t>
      </w:r>
      <w:proofErr w:type="spellStart"/>
      <w:r w:rsidR="00723935">
        <w:rPr>
          <w:rFonts w:ascii="Times New Roman" w:hAnsi="Times New Roman" w:cs="Times New Roman"/>
          <w:sz w:val="28"/>
          <w:szCs w:val="28"/>
        </w:rPr>
        <w:t>анштальты</w:t>
      </w:r>
      <w:proofErr w:type="spellEnd"/>
      <w:r w:rsidR="00723935">
        <w:rPr>
          <w:rFonts w:ascii="Times New Roman" w:hAnsi="Times New Roman" w:cs="Times New Roman"/>
          <w:sz w:val="28"/>
          <w:szCs w:val="28"/>
        </w:rPr>
        <w:t>, партнерства), зарегистрированны</w:t>
      </w:r>
      <w:r w:rsidR="00210DF4">
        <w:rPr>
          <w:rFonts w:ascii="Times New Roman" w:hAnsi="Times New Roman" w:cs="Times New Roman"/>
          <w:sz w:val="28"/>
          <w:szCs w:val="28"/>
        </w:rPr>
        <w:t>х</w:t>
      </w:r>
      <w:r w:rsidR="00723935">
        <w:rPr>
          <w:rFonts w:ascii="Times New Roman" w:hAnsi="Times New Roman" w:cs="Times New Roman"/>
          <w:sz w:val="28"/>
          <w:szCs w:val="28"/>
        </w:rPr>
        <w:t xml:space="preserve"> в офшорных и транзитных низконалоговых юрисдикциях, используются для сокрытия конечных бенефициаров и финансовых активов</w:t>
      </w:r>
      <w:r w:rsidR="00E46CD3">
        <w:rPr>
          <w:rStyle w:val="aa"/>
          <w:rFonts w:ascii="Times New Roman" w:hAnsi="Times New Roman" w:cs="Times New Roman"/>
          <w:sz w:val="28"/>
          <w:szCs w:val="28"/>
        </w:rPr>
        <w:footnoteReference w:id="20"/>
      </w:r>
      <w:r w:rsidR="00E46CD3">
        <w:rPr>
          <w:rFonts w:ascii="Times New Roman" w:hAnsi="Times New Roman" w:cs="Times New Roman"/>
          <w:sz w:val="28"/>
          <w:szCs w:val="28"/>
        </w:rPr>
        <w:t>.</w:t>
      </w:r>
    </w:p>
    <w:p w:rsidR="003F3315" w:rsidRDefault="003F3315"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Прозрачная и простая стру</w:t>
      </w:r>
      <w:r w:rsidR="00B16BDA">
        <w:rPr>
          <w:rFonts w:ascii="Times New Roman" w:hAnsi="Times New Roman" w:cs="Times New Roman"/>
          <w:sz w:val="28"/>
          <w:szCs w:val="28"/>
        </w:rPr>
        <w:t xml:space="preserve">ктура собственности организации, напротив, </w:t>
      </w:r>
      <w:r>
        <w:rPr>
          <w:rFonts w:ascii="Times New Roman" w:hAnsi="Times New Roman" w:cs="Times New Roman"/>
          <w:sz w:val="28"/>
          <w:szCs w:val="28"/>
        </w:rPr>
        <w:t>повышает доверие кредиторов и инвесторов.</w:t>
      </w:r>
    </w:p>
    <w:p w:rsidR="00723935" w:rsidRDefault="00AB01AC"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Информационная закрытость, несвоевременность раскрытия финансовой и нефинансовой информации, отсутствие </w:t>
      </w:r>
      <w:proofErr w:type="spellStart"/>
      <w:r w:rsidR="00495B9B">
        <w:rPr>
          <w:rFonts w:ascii="Times New Roman" w:hAnsi="Times New Roman" w:cs="Times New Roman"/>
          <w:sz w:val="28"/>
          <w:szCs w:val="28"/>
        </w:rPr>
        <w:t>аудированной</w:t>
      </w:r>
      <w:proofErr w:type="spellEnd"/>
      <w:r w:rsidR="00495B9B">
        <w:rPr>
          <w:rFonts w:ascii="Times New Roman" w:hAnsi="Times New Roman" w:cs="Times New Roman"/>
          <w:sz w:val="28"/>
          <w:szCs w:val="28"/>
        </w:rPr>
        <w:t xml:space="preserve"> </w:t>
      </w:r>
      <w:r>
        <w:rPr>
          <w:rFonts w:ascii="Times New Roman" w:hAnsi="Times New Roman" w:cs="Times New Roman"/>
          <w:sz w:val="28"/>
          <w:szCs w:val="28"/>
        </w:rPr>
        <w:t xml:space="preserve">отчетности, </w:t>
      </w:r>
      <w:r w:rsidR="00495B9B">
        <w:rPr>
          <w:rFonts w:ascii="Times New Roman" w:hAnsi="Times New Roman" w:cs="Times New Roman"/>
          <w:sz w:val="28"/>
          <w:szCs w:val="28"/>
        </w:rPr>
        <w:t xml:space="preserve">отказ аудитора от выражения мнения, значимые оговорки, </w:t>
      </w:r>
      <w:r>
        <w:rPr>
          <w:rFonts w:ascii="Times New Roman" w:hAnsi="Times New Roman" w:cs="Times New Roman"/>
          <w:sz w:val="28"/>
          <w:szCs w:val="28"/>
        </w:rPr>
        <w:t>невысокий уровень деловой репутации аудитора отчетности</w:t>
      </w:r>
      <w:r w:rsidR="00B16BDA">
        <w:rPr>
          <w:rFonts w:ascii="Times New Roman" w:hAnsi="Times New Roman" w:cs="Times New Roman"/>
          <w:sz w:val="28"/>
          <w:szCs w:val="28"/>
        </w:rPr>
        <w:t>, по мнению экспертов международных рейтинговых агентств,</w:t>
      </w:r>
      <w:r>
        <w:rPr>
          <w:rFonts w:ascii="Times New Roman" w:hAnsi="Times New Roman" w:cs="Times New Roman"/>
          <w:sz w:val="28"/>
          <w:szCs w:val="28"/>
        </w:rPr>
        <w:t xml:space="preserve"> свидетельствуют о недостатках корпоративного управления и возможных рисках</w:t>
      </w:r>
      <w:r w:rsidR="00495B9B">
        <w:rPr>
          <w:rStyle w:val="aa"/>
          <w:rFonts w:ascii="Times New Roman" w:hAnsi="Times New Roman" w:cs="Times New Roman"/>
          <w:sz w:val="28"/>
          <w:szCs w:val="28"/>
        </w:rPr>
        <w:footnoteReference w:id="21"/>
      </w:r>
      <w:r>
        <w:rPr>
          <w:rFonts w:ascii="Times New Roman" w:hAnsi="Times New Roman" w:cs="Times New Roman"/>
          <w:sz w:val="28"/>
          <w:szCs w:val="28"/>
        </w:rPr>
        <w:t>.</w:t>
      </w:r>
    </w:p>
    <w:p w:rsidR="00FB752F" w:rsidRDefault="00621065"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качества управления и риск-менеджмента позволяет определить </w:t>
      </w:r>
      <w:r w:rsidR="00F16012">
        <w:rPr>
          <w:rFonts w:ascii="Times New Roman" w:hAnsi="Times New Roman" w:cs="Times New Roman"/>
          <w:sz w:val="28"/>
          <w:szCs w:val="28"/>
        </w:rPr>
        <w:t>корпоративные риски, связанные с деятельностью совета директоров и исполнительных органов (стабильность, компетентность, наличие профессионального опыта работы в отрасли)</w:t>
      </w:r>
      <w:r w:rsidR="008E2E1F">
        <w:rPr>
          <w:rFonts w:ascii="Times New Roman" w:hAnsi="Times New Roman" w:cs="Times New Roman"/>
          <w:sz w:val="28"/>
          <w:szCs w:val="28"/>
        </w:rPr>
        <w:t>. Оценивается стратегическое планирование развития организации. В рамках оценки качества риск-менеджмента анализируется деятельность подразделения управления рисками, карты рисков, отчеты по риск-менеджменту.</w:t>
      </w:r>
    </w:p>
    <w:p w:rsidR="007531D5" w:rsidRDefault="008E2E1F"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00BC7A7C">
        <w:rPr>
          <w:rFonts w:ascii="Times New Roman" w:hAnsi="Times New Roman" w:cs="Times New Roman"/>
          <w:sz w:val="28"/>
          <w:szCs w:val="28"/>
        </w:rPr>
        <w:t>внутренни</w:t>
      </w:r>
      <w:r>
        <w:rPr>
          <w:rFonts w:ascii="Times New Roman" w:hAnsi="Times New Roman" w:cs="Times New Roman"/>
          <w:sz w:val="28"/>
          <w:szCs w:val="28"/>
        </w:rPr>
        <w:t>м</w:t>
      </w:r>
      <w:r w:rsidR="00BC7A7C">
        <w:rPr>
          <w:rFonts w:ascii="Times New Roman" w:hAnsi="Times New Roman" w:cs="Times New Roman"/>
          <w:sz w:val="28"/>
          <w:szCs w:val="28"/>
        </w:rPr>
        <w:t xml:space="preserve"> стресс</w:t>
      </w:r>
      <w:r>
        <w:rPr>
          <w:rFonts w:ascii="Times New Roman" w:hAnsi="Times New Roman" w:cs="Times New Roman"/>
          <w:sz w:val="28"/>
          <w:szCs w:val="28"/>
        </w:rPr>
        <w:t>-</w:t>
      </w:r>
      <w:r w:rsidR="00BC7A7C">
        <w:rPr>
          <w:rFonts w:ascii="Times New Roman" w:hAnsi="Times New Roman" w:cs="Times New Roman"/>
          <w:sz w:val="28"/>
          <w:szCs w:val="28"/>
        </w:rPr>
        <w:t>фактор</w:t>
      </w:r>
      <w:r>
        <w:rPr>
          <w:rFonts w:ascii="Times New Roman" w:hAnsi="Times New Roman" w:cs="Times New Roman"/>
          <w:sz w:val="28"/>
          <w:szCs w:val="28"/>
        </w:rPr>
        <w:t xml:space="preserve">ам относятся: концентрация или диверсификация бизнеса; долговая нагрузка; уголовное преследование собственников и (или) топ-менеджеров; исполнительные производства о наложении ареста на имущество </w:t>
      </w:r>
      <w:r w:rsidR="00F95BFC">
        <w:rPr>
          <w:rFonts w:ascii="Times New Roman" w:hAnsi="Times New Roman" w:cs="Times New Roman"/>
          <w:sz w:val="28"/>
          <w:szCs w:val="28"/>
        </w:rPr>
        <w:t xml:space="preserve"> организации или ее собственников; корпоративные конфликты между собственниками</w:t>
      </w:r>
      <w:r w:rsidR="00344017">
        <w:rPr>
          <w:rFonts w:ascii="Times New Roman" w:hAnsi="Times New Roman" w:cs="Times New Roman"/>
          <w:sz w:val="28"/>
          <w:szCs w:val="28"/>
        </w:rPr>
        <w:t>, в том числе риски смены контролирующего акционера (участника)</w:t>
      </w:r>
      <w:r w:rsidR="00C44580">
        <w:rPr>
          <w:rStyle w:val="aa"/>
          <w:rFonts w:ascii="Times New Roman" w:hAnsi="Times New Roman" w:cs="Times New Roman"/>
          <w:sz w:val="28"/>
          <w:szCs w:val="28"/>
        </w:rPr>
        <w:footnoteReference w:id="22"/>
      </w:r>
      <w:r w:rsidR="00F95BFC">
        <w:rPr>
          <w:rFonts w:ascii="Times New Roman" w:hAnsi="Times New Roman" w:cs="Times New Roman"/>
          <w:sz w:val="28"/>
          <w:szCs w:val="28"/>
        </w:rPr>
        <w:t xml:space="preserve">; негативная деловая репутация собственников и (или) менеджмента; негативная кредитная история (неисполнение обязательств по кредитам). </w:t>
      </w:r>
    </w:p>
    <w:p w:rsidR="00BC7A7C" w:rsidRDefault="00F95BFC"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Внешние стресс-факторы включают </w:t>
      </w:r>
      <w:r w:rsidR="00606A54">
        <w:rPr>
          <w:rFonts w:ascii="Times New Roman" w:hAnsi="Times New Roman" w:cs="Times New Roman"/>
          <w:sz w:val="28"/>
          <w:szCs w:val="28"/>
        </w:rPr>
        <w:t xml:space="preserve">экономические кризисы, </w:t>
      </w:r>
      <w:r>
        <w:rPr>
          <w:rFonts w:ascii="Times New Roman" w:hAnsi="Times New Roman" w:cs="Times New Roman"/>
          <w:sz w:val="28"/>
          <w:szCs w:val="28"/>
        </w:rPr>
        <w:t>негативные действия со стороны собственников организации (преднамеренное ухудшение финансового состояния, вывод активов, отмывание преступных доходов)</w:t>
      </w:r>
      <w:r w:rsidR="00467551">
        <w:rPr>
          <w:rFonts w:ascii="Times New Roman" w:hAnsi="Times New Roman" w:cs="Times New Roman"/>
          <w:sz w:val="28"/>
          <w:szCs w:val="28"/>
        </w:rPr>
        <w:t xml:space="preserve"> и государства (введение специальных </w:t>
      </w:r>
      <w:r w:rsidR="00467551">
        <w:rPr>
          <w:rFonts w:ascii="Times New Roman" w:hAnsi="Times New Roman" w:cs="Times New Roman"/>
          <w:sz w:val="28"/>
          <w:szCs w:val="28"/>
        </w:rPr>
        <w:lastRenderedPageBreak/>
        <w:t>налогов, увеличение дивидендов, присвоение части активов (</w:t>
      </w:r>
      <w:r w:rsidR="00467551">
        <w:rPr>
          <w:rFonts w:ascii="Times New Roman" w:hAnsi="Times New Roman" w:cs="Times New Roman"/>
          <w:sz w:val="28"/>
          <w:szCs w:val="28"/>
          <w:lang w:val="en-US"/>
        </w:rPr>
        <w:t>asset</w:t>
      </w:r>
      <w:r w:rsidR="00467551" w:rsidRPr="00467551">
        <w:rPr>
          <w:rFonts w:ascii="Times New Roman" w:hAnsi="Times New Roman" w:cs="Times New Roman"/>
          <w:sz w:val="28"/>
          <w:szCs w:val="28"/>
        </w:rPr>
        <w:t xml:space="preserve"> </w:t>
      </w:r>
      <w:r w:rsidR="00467551">
        <w:rPr>
          <w:rFonts w:ascii="Times New Roman" w:hAnsi="Times New Roman" w:cs="Times New Roman"/>
          <w:sz w:val="28"/>
          <w:szCs w:val="28"/>
          <w:lang w:val="en-US"/>
        </w:rPr>
        <w:t>and</w:t>
      </w:r>
      <w:r w:rsidR="00467551" w:rsidRPr="00467551">
        <w:rPr>
          <w:rFonts w:ascii="Times New Roman" w:hAnsi="Times New Roman" w:cs="Times New Roman"/>
          <w:sz w:val="28"/>
          <w:szCs w:val="28"/>
        </w:rPr>
        <w:t xml:space="preserve"> </w:t>
      </w:r>
      <w:r w:rsidR="00467551">
        <w:rPr>
          <w:rFonts w:ascii="Times New Roman" w:hAnsi="Times New Roman" w:cs="Times New Roman"/>
          <w:sz w:val="28"/>
          <w:szCs w:val="28"/>
          <w:lang w:val="en-US"/>
        </w:rPr>
        <w:t>cash</w:t>
      </w:r>
      <w:r w:rsidR="00467551" w:rsidRPr="00467551">
        <w:rPr>
          <w:rFonts w:ascii="Times New Roman" w:hAnsi="Times New Roman" w:cs="Times New Roman"/>
          <w:sz w:val="28"/>
          <w:szCs w:val="28"/>
        </w:rPr>
        <w:t>-</w:t>
      </w:r>
      <w:r w:rsidR="00467551">
        <w:rPr>
          <w:rFonts w:ascii="Times New Roman" w:hAnsi="Times New Roman" w:cs="Times New Roman"/>
          <w:sz w:val="28"/>
          <w:szCs w:val="28"/>
          <w:lang w:val="en-US"/>
        </w:rPr>
        <w:t>stripping</w:t>
      </w:r>
      <w:r w:rsidR="00467551" w:rsidRPr="00467551">
        <w:rPr>
          <w:rFonts w:ascii="Times New Roman" w:hAnsi="Times New Roman" w:cs="Times New Roman"/>
          <w:sz w:val="28"/>
          <w:szCs w:val="28"/>
        </w:rPr>
        <w:t>)</w:t>
      </w:r>
      <w:r w:rsidR="00E94858">
        <w:rPr>
          <w:rStyle w:val="aa"/>
          <w:rFonts w:ascii="Times New Roman" w:hAnsi="Times New Roman" w:cs="Times New Roman"/>
          <w:sz w:val="28"/>
          <w:szCs w:val="28"/>
        </w:rPr>
        <w:footnoteReference w:id="23"/>
      </w:r>
      <w:r>
        <w:rPr>
          <w:rFonts w:ascii="Times New Roman" w:hAnsi="Times New Roman" w:cs="Times New Roman"/>
          <w:sz w:val="28"/>
          <w:szCs w:val="28"/>
        </w:rPr>
        <w:t>.</w:t>
      </w:r>
    </w:p>
    <w:p w:rsidR="00801A37" w:rsidRDefault="00483D35"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Внутренние факторы поддержки </w:t>
      </w:r>
      <w:r w:rsidR="004150A7">
        <w:rPr>
          <w:rFonts w:ascii="Times New Roman" w:hAnsi="Times New Roman" w:cs="Times New Roman"/>
          <w:sz w:val="28"/>
          <w:szCs w:val="28"/>
        </w:rPr>
        <w:t>предполагают анализ наличия достаточности ликвидных активов, поручительств (гарантий) оказания финансовой поддержки со стороны консолидирующей организации (собственника), положений о кросс-дефолте материнских и дочерних структур, прецеденты оказания поддержки (субсидии, государственные гарантии, налоговые льготы, стимулирование спроса и др.)</w:t>
      </w:r>
      <w:r>
        <w:rPr>
          <w:rFonts w:ascii="Times New Roman" w:hAnsi="Times New Roman" w:cs="Times New Roman"/>
          <w:sz w:val="28"/>
          <w:szCs w:val="28"/>
        </w:rPr>
        <w:t>.</w:t>
      </w:r>
      <w:r w:rsidR="004150A7">
        <w:rPr>
          <w:rFonts w:ascii="Times New Roman" w:hAnsi="Times New Roman" w:cs="Times New Roman"/>
          <w:sz w:val="28"/>
          <w:szCs w:val="28"/>
        </w:rPr>
        <w:t xml:space="preserve"> </w:t>
      </w:r>
    </w:p>
    <w:p w:rsidR="00801A37" w:rsidRDefault="004150A7"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анализа внешних факторов</w:t>
      </w:r>
      <w:r w:rsidR="000B4F6D">
        <w:rPr>
          <w:rFonts w:ascii="Times New Roman" w:hAnsi="Times New Roman" w:cs="Times New Roman"/>
          <w:sz w:val="28"/>
          <w:szCs w:val="28"/>
        </w:rPr>
        <w:t xml:space="preserve"> поддержки</w:t>
      </w:r>
      <w:r>
        <w:rPr>
          <w:rFonts w:ascii="Times New Roman" w:hAnsi="Times New Roman" w:cs="Times New Roman"/>
          <w:sz w:val="28"/>
          <w:szCs w:val="28"/>
        </w:rPr>
        <w:t xml:space="preserve"> является определение возможности оказания адресной государственной поддержки (наличие в структуре собственности государственного пакета акций (долей), зависимость от организации ключевых производственных цепочек или смежных отраслей экономики, градообразующий статус</w:t>
      </w:r>
      <w:r w:rsidR="000B4F6D">
        <w:rPr>
          <w:rFonts w:ascii="Times New Roman" w:hAnsi="Times New Roman" w:cs="Times New Roman"/>
          <w:sz w:val="28"/>
          <w:szCs w:val="28"/>
        </w:rPr>
        <w:t xml:space="preserve">, размещение в </w:t>
      </w:r>
      <w:proofErr w:type="spellStart"/>
      <w:r w:rsidR="000B4F6D">
        <w:rPr>
          <w:rFonts w:ascii="Times New Roman" w:hAnsi="Times New Roman" w:cs="Times New Roman"/>
          <w:sz w:val="28"/>
          <w:szCs w:val="28"/>
        </w:rPr>
        <w:t>монопрофильном</w:t>
      </w:r>
      <w:proofErr w:type="spellEnd"/>
      <w:r w:rsidR="000B4F6D">
        <w:rPr>
          <w:rFonts w:ascii="Times New Roman" w:hAnsi="Times New Roman" w:cs="Times New Roman"/>
          <w:sz w:val="28"/>
          <w:szCs w:val="28"/>
        </w:rPr>
        <w:t xml:space="preserve"> муниципальном образовании</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w:t>
      </w:r>
      <w:r w:rsidR="00BB01E2">
        <w:rPr>
          <w:rStyle w:val="aa"/>
          <w:rFonts w:ascii="Times New Roman" w:hAnsi="Times New Roman" w:cs="Times New Roman"/>
          <w:sz w:val="28"/>
          <w:szCs w:val="28"/>
        </w:rPr>
        <w:footnoteReference w:id="24"/>
      </w:r>
      <w:r>
        <w:rPr>
          <w:rFonts w:ascii="Times New Roman" w:hAnsi="Times New Roman" w:cs="Times New Roman"/>
          <w:sz w:val="28"/>
          <w:szCs w:val="28"/>
        </w:rPr>
        <w:t>.</w:t>
      </w:r>
      <w:r w:rsidR="000B4F6D">
        <w:rPr>
          <w:rFonts w:ascii="Times New Roman" w:hAnsi="Times New Roman" w:cs="Times New Roman"/>
          <w:sz w:val="28"/>
          <w:szCs w:val="28"/>
        </w:rPr>
        <w:t xml:space="preserve"> </w:t>
      </w:r>
    </w:p>
    <w:p w:rsidR="00BC7A7C" w:rsidRDefault="000B4F6D" w:rsidP="002456FF">
      <w:pPr>
        <w:spacing w:after="0" w:line="300" w:lineRule="auto"/>
        <w:ind w:firstLine="709"/>
        <w:jc w:val="both"/>
        <w:rPr>
          <w:rFonts w:ascii="Times New Roman" w:hAnsi="Times New Roman" w:cs="Times New Roman"/>
          <w:sz w:val="28"/>
          <w:szCs w:val="28"/>
        </w:rPr>
      </w:pPr>
      <w:r w:rsidRPr="000B4F6D">
        <w:rPr>
          <w:rFonts w:ascii="Times New Roman" w:hAnsi="Times New Roman" w:cs="Times New Roman"/>
          <w:sz w:val="28"/>
        </w:rPr>
        <w:t>В методологии</w:t>
      </w:r>
      <w:r>
        <w:rPr>
          <w:rFonts w:ascii="Times New Roman" w:hAnsi="Times New Roman" w:cs="Times New Roman"/>
          <w:b/>
          <w:sz w:val="28"/>
        </w:rPr>
        <w:t xml:space="preserve"> </w:t>
      </w:r>
      <w:r w:rsidRPr="000B4F6D">
        <w:rPr>
          <w:rFonts w:ascii="Times New Roman" w:hAnsi="Times New Roman" w:cs="Times New Roman"/>
          <w:sz w:val="28"/>
        </w:rPr>
        <w:t xml:space="preserve">международного рейтингового агентства </w:t>
      </w:r>
      <w:r>
        <w:rPr>
          <w:rFonts w:ascii="Times New Roman" w:hAnsi="Times New Roman" w:cs="Times New Roman"/>
          <w:sz w:val="28"/>
          <w:szCs w:val="28"/>
          <w:lang w:val="en-US"/>
        </w:rPr>
        <w:t>Standard</w:t>
      </w:r>
      <w:r w:rsidRPr="00FB752F">
        <w:rPr>
          <w:rFonts w:ascii="Times New Roman" w:hAnsi="Times New Roman" w:cs="Times New Roman"/>
          <w:sz w:val="28"/>
          <w:szCs w:val="28"/>
        </w:rPr>
        <w:t xml:space="preserve"> &amp;</w:t>
      </w:r>
      <w:proofErr w:type="spellStart"/>
      <w:r>
        <w:rPr>
          <w:rFonts w:ascii="Times New Roman" w:hAnsi="Times New Roman" w:cs="Times New Roman"/>
          <w:sz w:val="28"/>
          <w:szCs w:val="28"/>
          <w:lang w:val="en-US"/>
        </w:rPr>
        <w:t>Poors</w:t>
      </w:r>
      <w:proofErr w:type="spellEnd"/>
      <w:r>
        <w:rPr>
          <w:rFonts w:ascii="Times New Roman" w:hAnsi="Times New Roman" w:cs="Times New Roman"/>
          <w:sz w:val="28"/>
          <w:szCs w:val="28"/>
        </w:rPr>
        <w:t xml:space="preserve"> вероятность получения господдержки оценивается с точки зрения значимости роли организации для государства</w:t>
      </w:r>
      <w:r w:rsidR="00C17151">
        <w:rPr>
          <w:rFonts w:ascii="Times New Roman" w:hAnsi="Times New Roman" w:cs="Times New Roman"/>
          <w:sz w:val="28"/>
          <w:szCs w:val="28"/>
        </w:rPr>
        <w:t xml:space="preserve"> (критически важная, очень важная, важная и ограниченная)</w:t>
      </w:r>
      <w:r>
        <w:rPr>
          <w:rFonts w:ascii="Times New Roman" w:hAnsi="Times New Roman" w:cs="Times New Roman"/>
          <w:sz w:val="28"/>
          <w:szCs w:val="28"/>
        </w:rPr>
        <w:t>, степени влияния Правительства на стратегию и операционную деятельность организации, уровня государственного контроля</w:t>
      </w:r>
      <w:r>
        <w:rPr>
          <w:rStyle w:val="aa"/>
          <w:rFonts w:ascii="Times New Roman" w:hAnsi="Times New Roman" w:cs="Times New Roman"/>
          <w:sz w:val="28"/>
          <w:szCs w:val="28"/>
        </w:rPr>
        <w:footnoteReference w:id="25"/>
      </w:r>
      <w:r>
        <w:rPr>
          <w:rFonts w:ascii="Times New Roman" w:hAnsi="Times New Roman" w:cs="Times New Roman"/>
          <w:sz w:val="28"/>
          <w:szCs w:val="28"/>
        </w:rPr>
        <w:t>.</w:t>
      </w:r>
    </w:p>
    <w:p w:rsidR="00A72211" w:rsidRPr="00031912" w:rsidRDefault="00031912" w:rsidP="002456FF">
      <w:pPr>
        <w:spacing w:after="0" w:line="300" w:lineRule="auto"/>
        <w:ind w:firstLine="709"/>
        <w:jc w:val="both"/>
        <w:rPr>
          <w:rFonts w:ascii="Times New Roman" w:hAnsi="Times New Roman" w:cs="Times New Roman"/>
          <w:b/>
          <w:sz w:val="28"/>
        </w:rPr>
      </w:pPr>
      <w:r w:rsidRPr="00031912">
        <w:rPr>
          <w:rFonts w:ascii="Times New Roman" w:hAnsi="Times New Roman" w:cs="Times New Roman"/>
          <w:sz w:val="28"/>
        </w:rPr>
        <w:t>Схожий подход используется аналитиками международного рейтингового агентства</w:t>
      </w:r>
      <w:r>
        <w:rPr>
          <w:rFonts w:ascii="Times New Roman" w:hAnsi="Times New Roman" w:cs="Times New Roman"/>
          <w:b/>
          <w:sz w:val="28"/>
        </w:rPr>
        <w:t xml:space="preserve"> </w:t>
      </w:r>
      <w:proofErr w:type="spellStart"/>
      <w:r>
        <w:rPr>
          <w:rFonts w:ascii="Times New Roman" w:hAnsi="Times New Roman" w:cs="Times New Roman"/>
          <w:sz w:val="28"/>
          <w:szCs w:val="28"/>
          <w:lang w:val="en-US"/>
        </w:rPr>
        <w:t>Moodys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Investors</w:t>
      </w:r>
      <w:r w:rsidRPr="00FB752F">
        <w:rPr>
          <w:rFonts w:ascii="Times New Roman" w:hAnsi="Times New Roman" w:cs="Times New Roman"/>
          <w:sz w:val="28"/>
          <w:szCs w:val="28"/>
        </w:rPr>
        <w:t xml:space="preserve"> </w:t>
      </w:r>
      <w:r>
        <w:rPr>
          <w:rFonts w:ascii="Times New Roman" w:hAnsi="Times New Roman" w:cs="Times New Roman"/>
          <w:sz w:val="28"/>
          <w:szCs w:val="28"/>
          <w:lang w:val="en-US"/>
        </w:rPr>
        <w:t>Service</w:t>
      </w:r>
      <w:r w:rsidR="0033719C">
        <w:rPr>
          <w:rFonts w:ascii="Times New Roman" w:hAnsi="Times New Roman" w:cs="Times New Roman"/>
          <w:sz w:val="28"/>
          <w:szCs w:val="28"/>
        </w:rPr>
        <w:t xml:space="preserve"> в Методологии оценки эмитентов, связанных с государством</w:t>
      </w:r>
      <w:r>
        <w:rPr>
          <w:rFonts w:ascii="Times New Roman" w:hAnsi="Times New Roman" w:cs="Times New Roman"/>
          <w:sz w:val="28"/>
          <w:szCs w:val="28"/>
        </w:rPr>
        <w:t xml:space="preserve">. Возможность получения господдержки оценивается с позиций структурных факторов (особый правовой статус организации, госгарантии, структура собственности с государственным участием, планы приватизации, законодательные и политические барьеры господдержки) и факторов готовности (прецеденты </w:t>
      </w:r>
      <w:r>
        <w:rPr>
          <w:rFonts w:ascii="Times New Roman" w:hAnsi="Times New Roman" w:cs="Times New Roman"/>
          <w:sz w:val="28"/>
          <w:szCs w:val="28"/>
        </w:rPr>
        <w:lastRenderedPageBreak/>
        <w:t>вмешательства государства, политические связи, экономическая значимость организации)</w:t>
      </w:r>
      <w:r>
        <w:rPr>
          <w:rStyle w:val="aa"/>
          <w:rFonts w:ascii="Times New Roman" w:hAnsi="Times New Roman" w:cs="Times New Roman"/>
          <w:sz w:val="28"/>
          <w:szCs w:val="28"/>
        </w:rPr>
        <w:footnoteReference w:id="26"/>
      </w:r>
      <w:r>
        <w:rPr>
          <w:rFonts w:ascii="Times New Roman" w:hAnsi="Times New Roman" w:cs="Times New Roman"/>
          <w:sz w:val="28"/>
          <w:szCs w:val="28"/>
        </w:rPr>
        <w:t>.</w:t>
      </w:r>
    </w:p>
    <w:p w:rsidR="008001B0" w:rsidRDefault="008001B0" w:rsidP="002456FF">
      <w:pPr>
        <w:spacing w:after="0" w:line="300" w:lineRule="auto"/>
        <w:ind w:firstLine="709"/>
        <w:jc w:val="both"/>
        <w:rPr>
          <w:rFonts w:ascii="Times New Roman" w:hAnsi="Times New Roman" w:cs="Times New Roman"/>
          <w:sz w:val="28"/>
        </w:rPr>
      </w:pPr>
      <w:r w:rsidRPr="008001B0">
        <w:rPr>
          <w:rFonts w:ascii="Times New Roman" w:hAnsi="Times New Roman" w:cs="Times New Roman"/>
          <w:sz w:val="28"/>
        </w:rPr>
        <w:t>Информационн</w:t>
      </w:r>
      <w:r>
        <w:rPr>
          <w:rFonts w:ascii="Times New Roman" w:hAnsi="Times New Roman" w:cs="Times New Roman"/>
          <w:sz w:val="28"/>
        </w:rPr>
        <w:t>ая база, которая позволяет оценивать финансово-экономическое состояние организаций, формируется на основе</w:t>
      </w:r>
      <w:r w:rsidR="0054687F">
        <w:rPr>
          <w:rFonts w:ascii="Times New Roman" w:hAnsi="Times New Roman" w:cs="Times New Roman"/>
          <w:sz w:val="28"/>
        </w:rPr>
        <w:t xml:space="preserve"> консолидированной</w:t>
      </w:r>
      <w:r>
        <w:rPr>
          <w:rFonts w:ascii="Times New Roman" w:hAnsi="Times New Roman" w:cs="Times New Roman"/>
          <w:sz w:val="28"/>
        </w:rPr>
        <w:t xml:space="preserve"> финансовой</w:t>
      </w:r>
      <w:r w:rsidR="0054687F">
        <w:rPr>
          <w:rFonts w:ascii="Times New Roman" w:hAnsi="Times New Roman" w:cs="Times New Roman"/>
          <w:sz w:val="28"/>
        </w:rPr>
        <w:t xml:space="preserve"> отчетности, аудиторских заключений к ней, квартальных, полугодовых, годовых отчетов, отчетов о движении денежных средств, эмиссионных документов по выпускам ценных бумаг, макроэкономических и отраслевых прогнозов Банка России и Минэкономразвития, данных контрольно-надзорных органов.</w:t>
      </w:r>
    </w:p>
    <w:p w:rsidR="0054687F" w:rsidRDefault="0054687F"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t>При наличии отчетности по РСБУ и МСФО, как правило, применяется отчетность по МСФО, поскольку она позволяет наиболее полно оценить риски</w:t>
      </w:r>
      <w:r w:rsidR="00CC0A80">
        <w:rPr>
          <w:rFonts w:ascii="Times New Roman" w:hAnsi="Times New Roman" w:cs="Times New Roman"/>
          <w:sz w:val="28"/>
        </w:rPr>
        <w:t>, по ней рассчитываются основные показатели рентабельности и ликвидности</w:t>
      </w:r>
      <w:r>
        <w:rPr>
          <w:rFonts w:ascii="Times New Roman" w:hAnsi="Times New Roman" w:cs="Times New Roman"/>
          <w:sz w:val="28"/>
        </w:rPr>
        <w:t xml:space="preserve">. При использовании отчетности по РСБУ применяются </w:t>
      </w:r>
      <w:r w:rsidR="00304E52">
        <w:rPr>
          <w:rFonts w:ascii="Times New Roman" w:hAnsi="Times New Roman" w:cs="Times New Roman"/>
          <w:sz w:val="28"/>
        </w:rPr>
        <w:t xml:space="preserve">аналитические </w:t>
      </w:r>
      <w:r>
        <w:rPr>
          <w:rFonts w:ascii="Times New Roman" w:hAnsi="Times New Roman" w:cs="Times New Roman"/>
          <w:sz w:val="28"/>
        </w:rPr>
        <w:t>корректировки с учетом опыта их трансформации в МСФО.</w:t>
      </w:r>
    </w:p>
    <w:p w:rsidR="00250522" w:rsidRDefault="00250522"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t xml:space="preserve">Аналитики российского рейтингового агентства «АКРА» отмечают, что «как правило, отсутствие </w:t>
      </w:r>
      <w:proofErr w:type="spellStart"/>
      <w:r>
        <w:rPr>
          <w:rFonts w:ascii="Times New Roman" w:hAnsi="Times New Roman" w:cs="Times New Roman"/>
          <w:sz w:val="28"/>
        </w:rPr>
        <w:t>аудированной</w:t>
      </w:r>
      <w:proofErr w:type="spellEnd"/>
      <w:r>
        <w:rPr>
          <w:rFonts w:ascii="Times New Roman" w:hAnsi="Times New Roman" w:cs="Times New Roman"/>
          <w:sz w:val="28"/>
        </w:rPr>
        <w:t xml:space="preserve"> финансовой отчетности по МСФО крайне негативно влияет на финансовую прозрачность организации. При этом финансовая прозрачность оценивается как имеющая значительные недостатки»</w:t>
      </w:r>
      <w:r>
        <w:rPr>
          <w:rStyle w:val="aa"/>
          <w:rFonts w:ascii="Times New Roman" w:hAnsi="Times New Roman" w:cs="Times New Roman"/>
          <w:sz w:val="28"/>
        </w:rPr>
        <w:footnoteReference w:id="27"/>
      </w:r>
      <w:r>
        <w:rPr>
          <w:rFonts w:ascii="Times New Roman" w:hAnsi="Times New Roman" w:cs="Times New Roman"/>
          <w:sz w:val="28"/>
        </w:rPr>
        <w:t>.</w:t>
      </w:r>
      <w:r w:rsidR="00D63198">
        <w:rPr>
          <w:rFonts w:ascii="Times New Roman" w:hAnsi="Times New Roman" w:cs="Times New Roman"/>
          <w:sz w:val="28"/>
        </w:rPr>
        <w:t xml:space="preserve"> Вместе с тем эксперты признают, что «о</w:t>
      </w:r>
      <w:r w:rsidR="00D63198" w:rsidRPr="00D63198">
        <w:rPr>
          <w:rFonts w:ascii="Times New Roman" w:hAnsi="Times New Roman" w:cs="Times New Roman"/>
          <w:sz w:val="28"/>
        </w:rPr>
        <w:t xml:space="preserve">граничение финансовой прозрачности может быть связано не со слабостью систем внутреннего контроля, а со спецификой операционной деятельности организации (например, стратегическое общество в структуре </w:t>
      </w:r>
      <w:r w:rsidR="005A6625">
        <w:rPr>
          <w:rFonts w:ascii="Times New Roman" w:hAnsi="Times New Roman" w:cs="Times New Roman"/>
          <w:sz w:val="28"/>
        </w:rPr>
        <w:t>оборонно-промышленного комплекса</w:t>
      </w:r>
      <w:r w:rsidR="00D63198" w:rsidRPr="00D63198">
        <w:rPr>
          <w:rFonts w:ascii="Times New Roman" w:hAnsi="Times New Roman" w:cs="Times New Roman"/>
          <w:sz w:val="28"/>
        </w:rPr>
        <w:t>)</w:t>
      </w:r>
      <w:r w:rsidR="00D63198">
        <w:rPr>
          <w:rFonts w:ascii="Times New Roman" w:hAnsi="Times New Roman" w:cs="Times New Roman"/>
          <w:sz w:val="28"/>
        </w:rPr>
        <w:t>»</w:t>
      </w:r>
      <w:r w:rsidR="00D63198">
        <w:rPr>
          <w:rStyle w:val="aa"/>
          <w:rFonts w:ascii="Times New Roman" w:hAnsi="Times New Roman" w:cs="Times New Roman"/>
          <w:sz w:val="28"/>
        </w:rPr>
        <w:footnoteReference w:id="28"/>
      </w:r>
      <w:r w:rsidR="00D63198" w:rsidRPr="00D63198">
        <w:rPr>
          <w:rFonts w:ascii="Times New Roman" w:hAnsi="Times New Roman" w:cs="Times New Roman"/>
          <w:sz w:val="28"/>
        </w:rPr>
        <w:t>.</w:t>
      </w:r>
    </w:p>
    <w:p w:rsidR="0054687F" w:rsidRDefault="0054687F"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t xml:space="preserve">В связи с необходимостью адаптации российской системы бухгалтерского учета к стандартам международной системы финансовой отчетности, востребованности публичной отчетности актуальной  является унификация международных и российских финансово-экономических показателей </w:t>
      </w:r>
      <w:r w:rsidR="00CE42B8">
        <w:rPr>
          <w:rFonts w:ascii="Times New Roman" w:hAnsi="Times New Roman" w:cs="Times New Roman"/>
          <w:sz w:val="28"/>
        </w:rPr>
        <w:t>бухгалтерской отчетности</w:t>
      </w:r>
      <w:r w:rsidR="00EF6284">
        <w:rPr>
          <w:rStyle w:val="aa"/>
          <w:rFonts w:ascii="Times New Roman" w:hAnsi="Times New Roman" w:cs="Times New Roman"/>
          <w:sz w:val="28"/>
        </w:rPr>
        <w:footnoteReference w:id="29"/>
      </w:r>
      <w:r w:rsidR="00CE42B8">
        <w:rPr>
          <w:rFonts w:ascii="Times New Roman" w:hAnsi="Times New Roman" w:cs="Times New Roman"/>
          <w:sz w:val="28"/>
        </w:rPr>
        <w:t xml:space="preserve">. </w:t>
      </w:r>
    </w:p>
    <w:p w:rsidR="00202C76" w:rsidRDefault="00202C76"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lastRenderedPageBreak/>
        <w:t>Финансовая информация, подготовленная на основе МСФО, повышает уровень доверия к организации, а также подотчетность и прозрачность.</w:t>
      </w:r>
    </w:p>
    <w:p w:rsidR="00CE42B8" w:rsidRPr="008001B0" w:rsidRDefault="00CE42B8" w:rsidP="002456FF">
      <w:pPr>
        <w:spacing w:after="0" w:line="300" w:lineRule="auto"/>
        <w:ind w:firstLine="709"/>
        <w:jc w:val="both"/>
        <w:rPr>
          <w:rFonts w:ascii="Times New Roman" w:hAnsi="Times New Roman" w:cs="Times New Roman"/>
          <w:sz w:val="28"/>
        </w:rPr>
      </w:pPr>
      <w:r>
        <w:rPr>
          <w:rFonts w:ascii="Times New Roman" w:hAnsi="Times New Roman" w:cs="Times New Roman"/>
          <w:sz w:val="28"/>
        </w:rPr>
        <w:t>Сближение показателей учета по МСФО и РСБУ позволит экономить ресурсы на трансформацию и интерпретацию пользователями национальных правил учета, оценить реальное финансово-экономическое положение организаций, их кредитоспособность, выработать оптимальные стратегические решения</w:t>
      </w:r>
      <w:r w:rsidR="00BE2C07">
        <w:rPr>
          <w:rStyle w:val="aa"/>
          <w:rFonts w:ascii="Times New Roman" w:hAnsi="Times New Roman" w:cs="Times New Roman"/>
          <w:sz w:val="28"/>
        </w:rPr>
        <w:footnoteReference w:id="30"/>
      </w:r>
      <w:r>
        <w:rPr>
          <w:rFonts w:ascii="Times New Roman" w:hAnsi="Times New Roman" w:cs="Times New Roman"/>
          <w:sz w:val="28"/>
        </w:rPr>
        <w:t>. С переходом на МСФО российские организации получат дополнительные возможности по привлечению иностранных инвесторов и кредиторов.</w:t>
      </w:r>
    </w:p>
    <w:p w:rsidR="001A3CF0" w:rsidRDefault="001A3CF0" w:rsidP="002456FF">
      <w:pPr>
        <w:spacing w:after="0" w:line="30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Часть системообразующих организаций российской экономики представлена головными исполнителями или исполнителями первого уровня кооперации по государственному оборонному заказу. Являясь системообразующими организациями, большинство из них одновременно обладают статусом организаций, имеющих стратегическое значение для обеспечения обороны страны и безопасности государства.</w:t>
      </w:r>
    </w:p>
    <w:p w:rsidR="007D6384" w:rsidRDefault="007D6384" w:rsidP="002456FF">
      <w:pPr>
        <w:spacing w:after="0" w:line="30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оценки финансово-экономической устойчивости и кредитоспособности системообразующих организаций и стратегических обществ могут использоваться соответствующие методологии для сектора ОПК.</w:t>
      </w:r>
    </w:p>
    <w:p w:rsidR="00551A26" w:rsidRDefault="007D6384" w:rsidP="002456FF">
      <w:pPr>
        <w:spacing w:after="0" w:line="30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Так, м</w:t>
      </w:r>
      <w:r w:rsidR="00551A26">
        <w:rPr>
          <w:rFonts w:ascii="Times New Roman CYR" w:hAnsi="Times New Roman CYR" w:cs="Times New Roman CYR"/>
          <w:sz w:val="28"/>
          <w:szCs w:val="28"/>
        </w:rPr>
        <w:t xml:space="preserve">етодология оценки организаций воздушно-космической  и оборонной промышленности международного рейтингового агентства </w:t>
      </w:r>
      <w:proofErr w:type="spellStart"/>
      <w:r w:rsidR="00E629C1">
        <w:rPr>
          <w:rFonts w:ascii="Times New Roman" w:hAnsi="Times New Roman" w:cs="Times New Roman"/>
          <w:sz w:val="28"/>
          <w:szCs w:val="28"/>
          <w:lang w:val="en-US"/>
        </w:rPr>
        <w:t>Moodys</w:t>
      </w:r>
      <w:proofErr w:type="spellEnd"/>
      <w:r w:rsidR="00E629C1">
        <w:rPr>
          <w:rFonts w:ascii="Times New Roman" w:hAnsi="Times New Roman" w:cs="Times New Roman"/>
          <w:sz w:val="28"/>
          <w:szCs w:val="28"/>
        </w:rPr>
        <w:t xml:space="preserve"> </w:t>
      </w:r>
      <w:r w:rsidR="00E629C1">
        <w:rPr>
          <w:rFonts w:ascii="Times New Roman" w:hAnsi="Times New Roman" w:cs="Times New Roman"/>
          <w:sz w:val="28"/>
          <w:szCs w:val="28"/>
          <w:lang w:val="en-US"/>
        </w:rPr>
        <w:t>Investors</w:t>
      </w:r>
      <w:r w:rsidR="00E629C1" w:rsidRPr="00FB752F">
        <w:rPr>
          <w:rFonts w:ascii="Times New Roman" w:hAnsi="Times New Roman" w:cs="Times New Roman"/>
          <w:sz w:val="28"/>
          <w:szCs w:val="28"/>
        </w:rPr>
        <w:t xml:space="preserve"> </w:t>
      </w:r>
      <w:r w:rsidR="00E629C1">
        <w:rPr>
          <w:rFonts w:ascii="Times New Roman" w:hAnsi="Times New Roman" w:cs="Times New Roman"/>
          <w:sz w:val="28"/>
          <w:szCs w:val="28"/>
          <w:lang w:val="en-US"/>
        </w:rPr>
        <w:t>Service</w:t>
      </w:r>
      <w:r w:rsidR="00E629C1">
        <w:rPr>
          <w:rFonts w:ascii="Times New Roman" w:hAnsi="Times New Roman" w:cs="Times New Roman"/>
          <w:sz w:val="28"/>
          <w:szCs w:val="28"/>
        </w:rPr>
        <w:t xml:space="preserve"> базируется на 5 основных </w:t>
      </w:r>
      <w:r w:rsidR="002C6A60">
        <w:rPr>
          <w:rFonts w:ascii="Times New Roman" w:hAnsi="Times New Roman" w:cs="Times New Roman"/>
          <w:sz w:val="28"/>
          <w:szCs w:val="28"/>
        </w:rPr>
        <w:t>финансово-</w:t>
      </w:r>
      <w:r w:rsidR="002C6A60">
        <w:rPr>
          <w:rFonts w:ascii="Times New Roman" w:hAnsi="Times New Roman" w:cs="Times New Roman"/>
          <w:sz w:val="28"/>
          <w:szCs w:val="28"/>
        </w:rPr>
        <w:lastRenderedPageBreak/>
        <w:t xml:space="preserve">экономических </w:t>
      </w:r>
      <w:r w:rsidR="00E629C1">
        <w:rPr>
          <w:rFonts w:ascii="Times New Roman" w:hAnsi="Times New Roman" w:cs="Times New Roman"/>
          <w:sz w:val="28"/>
          <w:szCs w:val="28"/>
        </w:rPr>
        <w:t>факторах</w:t>
      </w:r>
      <w:r w:rsidR="002C6A60">
        <w:rPr>
          <w:rFonts w:ascii="Times New Roman" w:hAnsi="Times New Roman" w:cs="Times New Roman"/>
          <w:sz w:val="28"/>
          <w:szCs w:val="28"/>
        </w:rPr>
        <w:t>, которые имеют соответствующие весовые коэффициенты</w:t>
      </w:r>
      <w:r w:rsidR="00E629C1">
        <w:rPr>
          <w:rFonts w:ascii="Times New Roman" w:hAnsi="Times New Roman" w:cs="Times New Roman"/>
          <w:sz w:val="28"/>
          <w:szCs w:val="28"/>
        </w:rPr>
        <w:t>:</w:t>
      </w:r>
    </w:p>
    <w:p w:rsidR="00E629C1" w:rsidRDefault="00E629C1"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Масштаб деятельности</w:t>
      </w:r>
      <w:r w:rsidR="002C6A60">
        <w:rPr>
          <w:rFonts w:ascii="Times New Roman" w:hAnsi="Times New Roman" w:cs="Times New Roman"/>
          <w:sz w:val="28"/>
          <w:szCs w:val="28"/>
        </w:rPr>
        <w:t xml:space="preserve"> (20%)</w:t>
      </w:r>
      <w:r>
        <w:rPr>
          <w:rFonts w:ascii="Times New Roman" w:hAnsi="Times New Roman" w:cs="Times New Roman"/>
          <w:sz w:val="28"/>
          <w:szCs w:val="28"/>
        </w:rPr>
        <w:t>;</w:t>
      </w:r>
    </w:p>
    <w:p w:rsidR="00E629C1" w:rsidRDefault="00E629C1"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Бизнес-профиль</w:t>
      </w:r>
      <w:r w:rsidR="002C6A60">
        <w:rPr>
          <w:rFonts w:ascii="Times New Roman" w:hAnsi="Times New Roman" w:cs="Times New Roman"/>
          <w:sz w:val="28"/>
          <w:szCs w:val="28"/>
        </w:rPr>
        <w:t xml:space="preserve"> (20%)</w:t>
      </w:r>
      <w:r>
        <w:rPr>
          <w:rFonts w:ascii="Times New Roman" w:hAnsi="Times New Roman" w:cs="Times New Roman"/>
          <w:sz w:val="28"/>
          <w:szCs w:val="28"/>
        </w:rPr>
        <w:t>;</w:t>
      </w:r>
    </w:p>
    <w:p w:rsidR="00E629C1" w:rsidRDefault="00E629C1"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Рентабельность и эффективность</w:t>
      </w:r>
      <w:r w:rsidR="002C6A60">
        <w:rPr>
          <w:rFonts w:ascii="Times New Roman" w:hAnsi="Times New Roman" w:cs="Times New Roman"/>
          <w:sz w:val="28"/>
          <w:szCs w:val="28"/>
        </w:rPr>
        <w:t xml:space="preserve"> (5%)</w:t>
      </w:r>
      <w:r>
        <w:rPr>
          <w:rFonts w:ascii="Times New Roman" w:hAnsi="Times New Roman" w:cs="Times New Roman"/>
          <w:sz w:val="28"/>
          <w:szCs w:val="28"/>
        </w:rPr>
        <w:t>;</w:t>
      </w:r>
    </w:p>
    <w:p w:rsidR="00E629C1" w:rsidRDefault="00E629C1"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Кредитное плечо и покрытие</w:t>
      </w:r>
      <w:r w:rsidR="002C6A60">
        <w:rPr>
          <w:rFonts w:ascii="Times New Roman" w:hAnsi="Times New Roman" w:cs="Times New Roman"/>
          <w:sz w:val="28"/>
          <w:szCs w:val="28"/>
        </w:rPr>
        <w:t xml:space="preserve"> (35%)</w:t>
      </w:r>
      <w:r>
        <w:rPr>
          <w:rFonts w:ascii="Times New Roman" w:hAnsi="Times New Roman" w:cs="Times New Roman"/>
          <w:sz w:val="28"/>
          <w:szCs w:val="28"/>
        </w:rPr>
        <w:t>;</w:t>
      </w:r>
    </w:p>
    <w:p w:rsidR="00E629C1" w:rsidRDefault="00E629C1"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Финансовая политика</w:t>
      </w:r>
      <w:r w:rsidR="002C6A60">
        <w:rPr>
          <w:rFonts w:ascii="Times New Roman" w:hAnsi="Times New Roman" w:cs="Times New Roman"/>
          <w:sz w:val="28"/>
          <w:szCs w:val="28"/>
        </w:rPr>
        <w:t xml:space="preserve"> (20%)</w:t>
      </w:r>
      <w:r>
        <w:rPr>
          <w:rFonts w:ascii="Times New Roman" w:hAnsi="Times New Roman" w:cs="Times New Roman"/>
          <w:sz w:val="28"/>
          <w:szCs w:val="28"/>
        </w:rPr>
        <w:t>.</w:t>
      </w:r>
    </w:p>
    <w:p w:rsidR="002C6A60" w:rsidRPr="00FD277C" w:rsidRDefault="002C6A60"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свою очередь, в структуре фактора «Масштаб деятельности» (20%) выделены 2 </w:t>
      </w:r>
      <w:proofErr w:type="spellStart"/>
      <w:r>
        <w:rPr>
          <w:rFonts w:ascii="Times New Roman" w:hAnsi="Times New Roman" w:cs="Times New Roman"/>
          <w:sz w:val="28"/>
          <w:szCs w:val="28"/>
        </w:rPr>
        <w:t>субфактора</w:t>
      </w:r>
      <w:proofErr w:type="spellEnd"/>
      <w:r>
        <w:rPr>
          <w:rFonts w:ascii="Times New Roman" w:hAnsi="Times New Roman" w:cs="Times New Roman"/>
          <w:sz w:val="28"/>
          <w:szCs w:val="28"/>
        </w:rPr>
        <w:t xml:space="preserve">: «Выручка» (10%) и «Операционный доход» (10%); в  структуре фактора «Бизнес-профиль» (20%) </w:t>
      </w:r>
      <w:r w:rsidR="00FD277C">
        <w:rPr>
          <w:rFonts w:ascii="Times New Roman" w:hAnsi="Times New Roman" w:cs="Times New Roman"/>
          <w:sz w:val="28"/>
          <w:szCs w:val="28"/>
        </w:rPr>
        <w:t xml:space="preserve">2 </w:t>
      </w:r>
      <w:proofErr w:type="spellStart"/>
      <w:r w:rsidR="00FD277C">
        <w:rPr>
          <w:rFonts w:ascii="Times New Roman" w:hAnsi="Times New Roman" w:cs="Times New Roman"/>
          <w:sz w:val="28"/>
          <w:szCs w:val="28"/>
        </w:rPr>
        <w:t>субфактора</w:t>
      </w:r>
      <w:proofErr w:type="spellEnd"/>
      <w:r w:rsidR="00FD277C">
        <w:rPr>
          <w:rFonts w:ascii="Times New Roman" w:hAnsi="Times New Roman" w:cs="Times New Roman"/>
          <w:sz w:val="28"/>
          <w:szCs w:val="28"/>
        </w:rPr>
        <w:t xml:space="preserve"> </w:t>
      </w:r>
      <w:r>
        <w:rPr>
          <w:rFonts w:ascii="Times New Roman" w:hAnsi="Times New Roman" w:cs="Times New Roman"/>
          <w:sz w:val="28"/>
          <w:szCs w:val="28"/>
        </w:rPr>
        <w:t xml:space="preserve">– «Конкурентная позиция» (10%) и «Ожидаемый стабильный доход» (10%); в структуре фактора «Кредитное плечо и покрытие» (35%) </w:t>
      </w:r>
      <w:r w:rsidR="00FD277C">
        <w:rPr>
          <w:rFonts w:ascii="Times New Roman" w:hAnsi="Times New Roman" w:cs="Times New Roman"/>
          <w:sz w:val="28"/>
          <w:szCs w:val="28"/>
        </w:rPr>
        <w:t xml:space="preserve">3 </w:t>
      </w:r>
      <w:proofErr w:type="spellStart"/>
      <w:r w:rsidR="00FD277C">
        <w:rPr>
          <w:rFonts w:ascii="Times New Roman" w:hAnsi="Times New Roman" w:cs="Times New Roman"/>
          <w:sz w:val="28"/>
          <w:szCs w:val="28"/>
        </w:rPr>
        <w:t>субфактора</w:t>
      </w:r>
      <w:proofErr w:type="spellEnd"/>
      <w:r w:rsidR="00FD277C">
        <w:rPr>
          <w:rFonts w:ascii="Times New Roman" w:hAnsi="Times New Roman" w:cs="Times New Roman"/>
          <w:sz w:val="28"/>
          <w:szCs w:val="28"/>
        </w:rPr>
        <w:t xml:space="preserve"> </w:t>
      </w:r>
      <w:r>
        <w:rPr>
          <w:rFonts w:ascii="Times New Roman" w:hAnsi="Times New Roman" w:cs="Times New Roman"/>
          <w:sz w:val="28"/>
          <w:szCs w:val="28"/>
        </w:rPr>
        <w:t>– «Соотношение Долг/</w:t>
      </w:r>
      <w:r w:rsidR="00FD277C" w:rsidRPr="00FD277C">
        <w:rPr>
          <w:rFonts w:ascii="Times New Roman CYR" w:hAnsi="Times New Roman CYR" w:cs="Times New Roman CYR"/>
          <w:sz w:val="28"/>
          <w:szCs w:val="28"/>
        </w:rPr>
        <w:t xml:space="preserve"> </w:t>
      </w:r>
      <w:r w:rsidR="00FD277C">
        <w:rPr>
          <w:rFonts w:ascii="Times New Roman CYR" w:hAnsi="Times New Roman CYR" w:cs="Times New Roman CYR"/>
          <w:sz w:val="28"/>
          <w:szCs w:val="28"/>
          <w:lang w:val="en-US"/>
        </w:rPr>
        <w:t>EBITDA</w:t>
      </w:r>
      <w:r w:rsidR="00FD277C">
        <w:rPr>
          <w:rFonts w:ascii="Times New Roman CYR" w:hAnsi="Times New Roman CYR" w:cs="Times New Roman CYR"/>
          <w:sz w:val="28"/>
          <w:szCs w:val="28"/>
        </w:rPr>
        <w:t>» (15%); «Синдицированный кредит/Чистый долг» (10%) и «</w:t>
      </w:r>
      <w:r w:rsidR="00FD277C">
        <w:rPr>
          <w:rFonts w:ascii="Times New Roman CYR" w:hAnsi="Times New Roman CYR" w:cs="Times New Roman CYR"/>
          <w:sz w:val="28"/>
          <w:szCs w:val="28"/>
          <w:lang w:val="en-US"/>
        </w:rPr>
        <w:t>EBIT</w:t>
      </w:r>
      <w:r w:rsidR="00FD277C">
        <w:rPr>
          <w:rFonts w:ascii="Times New Roman CYR" w:hAnsi="Times New Roman CYR" w:cs="Times New Roman CYR"/>
          <w:sz w:val="28"/>
          <w:szCs w:val="28"/>
        </w:rPr>
        <w:t>/Процентные расходы» (10%)</w:t>
      </w:r>
      <w:r w:rsidR="00DC35D7">
        <w:rPr>
          <w:rStyle w:val="aa"/>
          <w:rFonts w:ascii="Times New Roman CYR" w:hAnsi="Times New Roman CYR" w:cs="Times New Roman CYR"/>
          <w:sz w:val="28"/>
          <w:szCs w:val="28"/>
        </w:rPr>
        <w:footnoteReference w:id="31"/>
      </w:r>
      <w:r w:rsidR="00FD277C">
        <w:rPr>
          <w:rFonts w:ascii="Times New Roman CYR" w:hAnsi="Times New Roman CYR" w:cs="Times New Roman CYR"/>
          <w:sz w:val="28"/>
          <w:szCs w:val="28"/>
        </w:rPr>
        <w:t>.</w:t>
      </w:r>
    </w:p>
    <w:p w:rsidR="00DB6697" w:rsidRDefault="00FD277C" w:rsidP="002456FF">
      <w:pPr>
        <w:spacing w:after="0" w:line="300" w:lineRule="auto"/>
        <w:ind w:firstLine="709"/>
        <w:jc w:val="both"/>
        <w:rPr>
          <w:rFonts w:ascii="Times New Roman CYR" w:hAnsi="Times New Roman CYR" w:cs="Times New Roman CYR"/>
          <w:sz w:val="28"/>
          <w:szCs w:val="28"/>
        </w:rPr>
      </w:pPr>
      <w:r>
        <w:rPr>
          <w:rFonts w:ascii="Times New Roman" w:hAnsi="Times New Roman" w:cs="Times New Roman"/>
          <w:sz w:val="28"/>
          <w:szCs w:val="28"/>
        </w:rPr>
        <w:t xml:space="preserve">Сравнительный анализ </w:t>
      </w:r>
      <w:r w:rsidR="00FE5D9D">
        <w:rPr>
          <w:rFonts w:ascii="Times New Roman" w:hAnsi="Times New Roman" w:cs="Times New Roman"/>
          <w:sz w:val="28"/>
          <w:szCs w:val="28"/>
        </w:rPr>
        <w:t xml:space="preserve">российских и зарубежных методологий оценки финансово-экономической устойчивости и кредитоспособности организаций </w:t>
      </w:r>
      <w:r>
        <w:rPr>
          <w:rFonts w:ascii="Times New Roman" w:hAnsi="Times New Roman" w:cs="Times New Roman"/>
          <w:sz w:val="28"/>
          <w:szCs w:val="28"/>
        </w:rPr>
        <w:t xml:space="preserve">показывает, что показатели долговой нагрузки, используемые при проведении мониторинга финансово-экономического состояния системообразующих организаций (утверждены </w:t>
      </w:r>
      <w:r w:rsidRPr="00FD277C">
        <w:rPr>
          <w:rFonts w:ascii="Times New Roman" w:hAnsi="Times New Roman" w:cs="Times New Roman"/>
          <w:sz w:val="28"/>
          <w:szCs w:val="28"/>
        </w:rPr>
        <w:t>приказом Министерства экономического развития Российской Федерации от 7 апреля 2020 г. № 207</w:t>
      </w:r>
      <w:r>
        <w:rPr>
          <w:rFonts w:ascii="Times New Roman" w:hAnsi="Times New Roman" w:cs="Times New Roman"/>
          <w:sz w:val="28"/>
          <w:szCs w:val="28"/>
        </w:rPr>
        <w:t xml:space="preserve">), в значительной степени совпадают с показателями </w:t>
      </w:r>
      <w:r>
        <w:rPr>
          <w:rFonts w:ascii="Times New Roman CYR" w:hAnsi="Times New Roman CYR" w:cs="Times New Roman CYR"/>
          <w:sz w:val="28"/>
          <w:szCs w:val="28"/>
        </w:rPr>
        <w:t>оценки организаций воздушно-космической  и оборонной промышленности</w:t>
      </w:r>
      <w:r w:rsidR="00020888">
        <w:rPr>
          <w:rFonts w:ascii="Times New Roman CYR" w:hAnsi="Times New Roman CYR" w:cs="Times New Roman CYR"/>
          <w:sz w:val="28"/>
          <w:szCs w:val="28"/>
        </w:rPr>
        <w:t>, промышленных предприятий гражданского назначения</w:t>
      </w:r>
      <w:r>
        <w:rPr>
          <w:rFonts w:ascii="Times New Roman CYR" w:hAnsi="Times New Roman CYR" w:cs="Times New Roman CYR"/>
          <w:sz w:val="28"/>
          <w:szCs w:val="28"/>
        </w:rPr>
        <w:t xml:space="preserve"> международного рейтингового агентства </w:t>
      </w:r>
      <w:proofErr w:type="spellStart"/>
      <w:r>
        <w:rPr>
          <w:rFonts w:ascii="Times New Roman" w:hAnsi="Times New Roman" w:cs="Times New Roman"/>
          <w:sz w:val="28"/>
          <w:szCs w:val="28"/>
          <w:lang w:val="en-US"/>
        </w:rPr>
        <w:t>Moodys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Investors</w:t>
      </w:r>
      <w:r w:rsidRPr="00FB752F">
        <w:rPr>
          <w:rFonts w:ascii="Times New Roman" w:hAnsi="Times New Roman" w:cs="Times New Roman"/>
          <w:sz w:val="28"/>
          <w:szCs w:val="28"/>
        </w:rPr>
        <w:t xml:space="preserve"> </w:t>
      </w:r>
      <w:r>
        <w:rPr>
          <w:rFonts w:ascii="Times New Roman" w:hAnsi="Times New Roman" w:cs="Times New Roman"/>
          <w:sz w:val="28"/>
          <w:szCs w:val="28"/>
          <w:lang w:val="en-US"/>
        </w:rPr>
        <w:t>Service</w:t>
      </w:r>
      <w:r w:rsidR="00DB6697">
        <w:rPr>
          <w:rFonts w:ascii="Times New Roman" w:hAnsi="Times New Roman" w:cs="Times New Roman"/>
          <w:sz w:val="28"/>
          <w:szCs w:val="28"/>
        </w:rPr>
        <w:t>,</w:t>
      </w:r>
      <w:r>
        <w:rPr>
          <w:rFonts w:ascii="Times New Roman" w:hAnsi="Times New Roman" w:cs="Times New Roman"/>
          <w:sz w:val="28"/>
          <w:szCs w:val="28"/>
        </w:rPr>
        <w:t xml:space="preserve"> </w:t>
      </w:r>
      <w:r w:rsidR="00DB6697">
        <w:rPr>
          <w:rFonts w:ascii="Times New Roman CYR" w:hAnsi="Times New Roman CYR" w:cs="Times New Roman CYR"/>
          <w:sz w:val="28"/>
          <w:szCs w:val="28"/>
        </w:rPr>
        <w:t xml:space="preserve">матрицей финансовых рисков </w:t>
      </w:r>
      <w:r w:rsidR="00DB6697">
        <w:rPr>
          <w:rFonts w:ascii="Times New Roman" w:hAnsi="Times New Roman" w:cs="Times New Roman"/>
          <w:sz w:val="28"/>
          <w:szCs w:val="28"/>
          <w:lang w:val="en-US"/>
        </w:rPr>
        <w:t>Standard</w:t>
      </w:r>
      <w:r w:rsidR="00DB6697" w:rsidRPr="00FB752F">
        <w:rPr>
          <w:rFonts w:ascii="Times New Roman" w:hAnsi="Times New Roman" w:cs="Times New Roman"/>
          <w:sz w:val="28"/>
          <w:szCs w:val="28"/>
        </w:rPr>
        <w:t xml:space="preserve"> &amp;</w:t>
      </w:r>
      <w:proofErr w:type="spellStart"/>
      <w:r w:rsidR="00DB6697">
        <w:rPr>
          <w:rFonts w:ascii="Times New Roman" w:hAnsi="Times New Roman" w:cs="Times New Roman"/>
          <w:sz w:val="28"/>
          <w:szCs w:val="28"/>
          <w:lang w:val="en-US"/>
        </w:rPr>
        <w:t>Poors</w:t>
      </w:r>
      <w:proofErr w:type="spellEnd"/>
      <w:r w:rsidR="00DB6697">
        <w:rPr>
          <w:rFonts w:ascii="Times New Roman" w:hAnsi="Times New Roman" w:cs="Times New Roman"/>
          <w:sz w:val="28"/>
          <w:szCs w:val="28"/>
        </w:rPr>
        <w:t xml:space="preserve"> </w:t>
      </w:r>
      <w:r>
        <w:rPr>
          <w:rFonts w:ascii="Times New Roman" w:hAnsi="Times New Roman" w:cs="Times New Roman"/>
          <w:sz w:val="28"/>
          <w:szCs w:val="28"/>
        </w:rPr>
        <w:t>и базируются на соотношении «Долг/</w:t>
      </w:r>
      <w:r w:rsidRPr="00FD277C">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EBITDA</w:t>
      </w:r>
      <w:r>
        <w:rPr>
          <w:rFonts w:ascii="Times New Roman CYR" w:hAnsi="Times New Roman CYR" w:cs="Times New Roman CYR"/>
          <w:sz w:val="28"/>
          <w:szCs w:val="28"/>
        </w:rPr>
        <w:t>»</w:t>
      </w:r>
      <w:r w:rsidR="00DB6697">
        <w:rPr>
          <w:rStyle w:val="aa"/>
          <w:rFonts w:ascii="Times New Roman CYR" w:hAnsi="Times New Roman CYR" w:cs="Times New Roman CYR"/>
          <w:sz w:val="28"/>
          <w:szCs w:val="28"/>
        </w:rPr>
        <w:footnoteReference w:id="32"/>
      </w:r>
      <w:r>
        <w:rPr>
          <w:rFonts w:ascii="Times New Roman CYR" w:hAnsi="Times New Roman CYR" w:cs="Times New Roman CYR"/>
          <w:sz w:val="28"/>
          <w:szCs w:val="28"/>
        </w:rPr>
        <w:t>.</w:t>
      </w:r>
      <w:r w:rsidR="00601149">
        <w:rPr>
          <w:rFonts w:ascii="Times New Roman CYR" w:hAnsi="Times New Roman CYR" w:cs="Times New Roman CYR"/>
          <w:sz w:val="28"/>
          <w:szCs w:val="28"/>
        </w:rPr>
        <w:t xml:space="preserve"> </w:t>
      </w:r>
    </w:p>
    <w:p w:rsidR="009F46BB" w:rsidRPr="009F46BB" w:rsidRDefault="009F46BB" w:rsidP="002456FF">
      <w:pPr>
        <w:spacing w:after="0" w:line="300" w:lineRule="auto"/>
        <w:ind w:firstLine="709"/>
        <w:jc w:val="both"/>
        <w:rPr>
          <w:rFonts w:ascii="Times New Roman CYR" w:hAnsi="Times New Roman CYR" w:cs="Times New Roman CYR"/>
          <w:sz w:val="28"/>
          <w:szCs w:val="28"/>
        </w:rPr>
      </w:pPr>
      <w:r w:rsidRPr="009F46BB">
        <w:rPr>
          <w:rFonts w:ascii="Times New Roman" w:hAnsi="Times New Roman" w:cs="Times New Roman"/>
          <w:sz w:val="28"/>
          <w:szCs w:val="28"/>
        </w:rPr>
        <w:t>Соотношение «Долг/</w:t>
      </w:r>
      <w:r w:rsidRPr="009F46BB">
        <w:rPr>
          <w:rFonts w:ascii="Times New Roman" w:hAnsi="Times New Roman" w:cs="Times New Roman"/>
          <w:sz w:val="28"/>
          <w:szCs w:val="28"/>
          <w:lang w:val="en-US"/>
        </w:rPr>
        <w:t>EBITDA</w:t>
      </w:r>
      <w:r w:rsidRPr="009F46BB">
        <w:rPr>
          <w:rFonts w:ascii="Times New Roman" w:hAnsi="Times New Roman" w:cs="Times New Roman"/>
          <w:sz w:val="28"/>
          <w:szCs w:val="28"/>
        </w:rPr>
        <w:t xml:space="preserve">» рассматривается в матрице финансовых рисков </w:t>
      </w:r>
      <w:proofErr w:type="spellStart"/>
      <w:r w:rsidRPr="009F46BB">
        <w:rPr>
          <w:rFonts w:ascii="Times New Roman" w:hAnsi="Times New Roman" w:cs="Times New Roman"/>
          <w:sz w:val="28"/>
          <w:szCs w:val="28"/>
        </w:rPr>
        <w:t>Standard</w:t>
      </w:r>
      <w:proofErr w:type="spellEnd"/>
      <w:r w:rsidRPr="009F46BB">
        <w:rPr>
          <w:rFonts w:ascii="Times New Roman" w:hAnsi="Times New Roman" w:cs="Times New Roman"/>
          <w:sz w:val="28"/>
          <w:szCs w:val="28"/>
        </w:rPr>
        <w:t xml:space="preserve"> &amp;</w:t>
      </w:r>
      <w:proofErr w:type="spellStart"/>
      <w:r w:rsidRPr="009F46BB">
        <w:rPr>
          <w:rFonts w:ascii="Times New Roman" w:hAnsi="Times New Roman" w:cs="Times New Roman"/>
          <w:sz w:val="28"/>
          <w:szCs w:val="28"/>
        </w:rPr>
        <w:t>Poors</w:t>
      </w:r>
      <w:proofErr w:type="spellEnd"/>
      <w:r w:rsidRPr="009F46BB">
        <w:rPr>
          <w:rFonts w:ascii="Times New Roman" w:hAnsi="Times New Roman" w:cs="Times New Roman"/>
          <w:sz w:val="28"/>
          <w:szCs w:val="28"/>
        </w:rPr>
        <w:t xml:space="preserve"> как один из показателей риска. Так, соотношение Долг/</w:t>
      </w:r>
      <w:r w:rsidRPr="009F46BB">
        <w:rPr>
          <w:rFonts w:ascii="Times New Roman" w:hAnsi="Times New Roman" w:cs="Times New Roman"/>
          <w:sz w:val="28"/>
          <w:szCs w:val="28"/>
          <w:lang w:val="en-US"/>
        </w:rPr>
        <w:t>EBITDA</w:t>
      </w:r>
      <w:r w:rsidRPr="009F46BB">
        <w:rPr>
          <w:rFonts w:ascii="Times New Roman" w:hAnsi="Times New Roman" w:cs="Times New Roman"/>
          <w:sz w:val="28"/>
          <w:szCs w:val="28"/>
        </w:rPr>
        <w:t xml:space="preserve"> менее 1,5 характеризует минимальный финансовый риск, 1,5-2 – умеренный риск, 2-3 – средний, 3-4 – значительный, 4-5 агрессивный, более 5 – высокий уровень долговой нагрузки. В приказе Минэкономразвития России от 7 апреля 2020 г. № 207 величины данного показателя определены критериями для отнесения организации к одной из групп риска: «черной» </w:t>
      </w:r>
      <w:r w:rsidRPr="009F46BB">
        <w:rPr>
          <w:rFonts w:ascii="Times New Roman" w:hAnsi="Times New Roman" w:cs="Times New Roman"/>
          <w:sz w:val="28"/>
          <w:szCs w:val="28"/>
        </w:rPr>
        <w:lastRenderedPageBreak/>
        <w:t>(крепкое финансово-экономическое состояние - менее 2), «серой» (среднее финансово-экономическое состояние – 2-4)», «белой» (неустойчивое финансово-экономическое состояние – более 4).</w:t>
      </w:r>
    </w:p>
    <w:p w:rsidR="003628B3" w:rsidRDefault="003628B3" w:rsidP="002456FF">
      <w:pPr>
        <w:spacing w:after="0" w:line="30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Несмотря на широкое использование для оценки долговой нагрузки в нефинансовом секторе, показатель </w:t>
      </w:r>
      <w:r>
        <w:rPr>
          <w:rFonts w:ascii="Times New Roman" w:hAnsi="Times New Roman" w:cs="Times New Roman"/>
          <w:sz w:val="28"/>
          <w:szCs w:val="28"/>
        </w:rPr>
        <w:t>«Долг/</w:t>
      </w:r>
      <w:r w:rsidRPr="00FD277C">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EBITDA</w:t>
      </w:r>
      <w:r>
        <w:rPr>
          <w:rFonts w:ascii="Times New Roman CYR" w:hAnsi="Times New Roman CYR" w:cs="Times New Roman CYR"/>
          <w:sz w:val="28"/>
          <w:szCs w:val="28"/>
        </w:rPr>
        <w:t xml:space="preserve">» имеет ограниченную применимость для многих отраслей. В мировой практике его чаще используют в качестве вспомогательного. В то же время </w:t>
      </w:r>
      <w:r w:rsidR="003325E9">
        <w:rPr>
          <w:rFonts w:ascii="Times New Roman CYR" w:hAnsi="Times New Roman CYR" w:cs="Times New Roman CYR"/>
          <w:sz w:val="28"/>
          <w:szCs w:val="28"/>
        </w:rPr>
        <w:t>существенное значение для оценки кредитоспособности может иметь показатель  «Структура долговых обязательств»</w:t>
      </w:r>
      <w:r w:rsidR="00934DD3">
        <w:rPr>
          <w:rStyle w:val="aa"/>
          <w:rFonts w:ascii="Times New Roman CYR" w:hAnsi="Times New Roman CYR" w:cs="Times New Roman CYR"/>
          <w:sz w:val="28"/>
          <w:szCs w:val="28"/>
        </w:rPr>
        <w:footnoteReference w:id="33"/>
      </w:r>
      <w:r w:rsidR="003325E9">
        <w:rPr>
          <w:rFonts w:ascii="Times New Roman CYR" w:hAnsi="Times New Roman CYR" w:cs="Times New Roman CYR"/>
          <w:sz w:val="28"/>
          <w:szCs w:val="28"/>
        </w:rPr>
        <w:t xml:space="preserve">. </w:t>
      </w:r>
      <w:r w:rsidR="0086075B">
        <w:rPr>
          <w:rFonts w:ascii="Times New Roman CYR" w:hAnsi="Times New Roman CYR" w:cs="Times New Roman CYR"/>
          <w:sz w:val="28"/>
          <w:szCs w:val="28"/>
        </w:rPr>
        <w:t xml:space="preserve">Доминирование долгосрочного заемного капитала может свидетельствовать о высокой устойчивости организации в краткосрочном периоде и о низкой устойчивости – в долгосрочном. </w:t>
      </w:r>
      <w:r w:rsidR="008109E1">
        <w:rPr>
          <w:rFonts w:ascii="Times New Roman CYR" w:hAnsi="Times New Roman CYR" w:cs="Times New Roman CYR"/>
          <w:sz w:val="28"/>
          <w:szCs w:val="28"/>
        </w:rPr>
        <w:t>Аналитики рейтингового агентства «АКРА» справедливо отмечают, что «</w:t>
      </w:r>
      <w:r w:rsidR="003325E9">
        <w:rPr>
          <w:rFonts w:ascii="Times New Roman CYR" w:hAnsi="Times New Roman CYR" w:cs="Times New Roman CYR"/>
          <w:sz w:val="28"/>
          <w:szCs w:val="28"/>
        </w:rPr>
        <w:t xml:space="preserve">формально относительно низкая долговая нагрузка при непрозрачной структуре группы (собственности организации) и большом объеме </w:t>
      </w:r>
      <w:proofErr w:type="spellStart"/>
      <w:r w:rsidR="003325E9">
        <w:rPr>
          <w:rFonts w:ascii="Times New Roman CYR" w:hAnsi="Times New Roman CYR" w:cs="Times New Roman CYR"/>
          <w:sz w:val="28"/>
          <w:szCs w:val="28"/>
        </w:rPr>
        <w:t>забалансовых</w:t>
      </w:r>
      <w:proofErr w:type="spellEnd"/>
      <w:r w:rsidR="003325E9">
        <w:rPr>
          <w:rFonts w:ascii="Times New Roman CYR" w:hAnsi="Times New Roman CYR" w:cs="Times New Roman CYR"/>
          <w:sz w:val="28"/>
          <w:szCs w:val="28"/>
        </w:rPr>
        <w:t xml:space="preserve"> обязательств может некорректно отражать реальный уровень долговой нагрузки, а исключительно краткосрочный характер долгового портфеля может свидетельствовать о повышении кредитного риска даже при низкой долговой нагрузке относительно сопоставимых организаций</w:t>
      </w:r>
      <w:r w:rsidR="008109E1">
        <w:rPr>
          <w:rFonts w:ascii="Times New Roman CYR" w:hAnsi="Times New Roman CYR" w:cs="Times New Roman CYR"/>
          <w:sz w:val="28"/>
          <w:szCs w:val="28"/>
        </w:rPr>
        <w:t>»</w:t>
      </w:r>
      <w:r w:rsidR="008109E1">
        <w:rPr>
          <w:rStyle w:val="aa"/>
          <w:rFonts w:ascii="Times New Roman CYR" w:hAnsi="Times New Roman CYR" w:cs="Times New Roman CYR"/>
          <w:sz w:val="28"/>
          <w:szCs w:val="28"/>
        </w:rPr>
        <w:footnoteReference w:id="34"/>
      </w:r>
      <w:r w:rsidR="003325E9">
        <w:rPr>
          <w:rFonts w:ascii="Times New Roman CYR" w:hAnsi="Times New Roman CYR" w:cs="Times New Roman CYR"/>
          <w:sz w:val="28"/>
          <w:szCs w:val="28"/>
        </w:rPr>
        <w:t>.</w:t>
      </w:r>
    </w:p>
    <w:p w:rsidR="00A77059" w:rsidRDefault="00676EA5" w:rsidP="002456FF">
      <w:pPr>
        <w:spacing w:after="0" w:line="30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В рамках интегрированной оценки финансово-экономического состояния и кредитоспособности организаций нефтегазового сектора</w:t>
      </w:r>
      <w:r w:rsidR="00020888">
        <w:rPr>
          <w:rFonts w:ascii="Times New Roman CYR" w:hAnsi="Times New Roman CYR" w:cs="Times New Roman CYR"/>
          <w:sz w:val="28"/>
          <w:szCs w:val="28"/>
        </w:rPr>
        <w:t>, методологии оценки промышленных предприятий гражданского назначения</w:t>
      </w:r>
      <w:r>
        <w:rPr>
          <w:rFonts w:ascii="Times New Roman CYR" w:hAnsi="Times New Roman CYR" w:cs="Times New Roman CYR"/>
          <w:sz w:val="28"/>
          <w:szCs w:val="28"/>
        </w:rPr>
        <w:t xml:space="preserve"> международное рейтинговое агентство </w:t>
      </w:r>
      <w:proofErr w:type="spellStart"/>
      <w:r>
        <w:rPr>
          <w:rFonts w:ascii="Times New Roman" w:hAnsi="Times New Roman" w:cs="Times New Roman"/>
          <w:sz w:val="28"/>
          <w:szCs w:val="28"/>
          <w:lang w:val="en-US"/>
        </w:rPr>
        <w:t>Moodys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Investors</w:t>
      </w:r>
      <w:r w:rsidRPr="00FB752F">
        <w:rPr>
          <w:rFonts w:ascii="Times New Roman" w:hAnsi="Times New Roman" w:cs="Times New Roman"/>
          <w:sz w:val="28"/>
          <w:szCs w:val="28"/>
        </w:rPr>
        <w:t xml:space="preserve"> </w:t>
      </w:r>
      <w:r>
        <w:rPr>
          <w:rFonts w:ascii="Times New Roman" w:hAnsi="Times New Roman" w:cs="Times New Roman"/>
          <w:sz w:val="28"/>
          <w:szCs w:val="28"/>
          <w:lang w:val="en-US"/>
        </w:rPr>
        <w:t>Service</w:t>
      </w:r>
      <w:r>
        <w:rPr>
          <w:rFonts w:ascii="Times New Roman" w:hAnsi="Times New Roman" w:cs="Times New Roman"/>
          <w:sz w:val="28"/>
          <w:szCs w:val="28"/>
        </w:rPr>
        <w:t xml:space="preserve"> увеличило весовые коэффициенты показателей «Бизнес-профиль» (25% для нефтегазового сектора вместо 20% для ОПК</w:t>
      </w:r>
      <w:r w:rsidR="00020888">
        <w:rPr>
          <w:rFonts w:ascii="Times New Roman" w:hAnsi="Times New Roman" w:cs="Times New Roman"/>
          <w:sz w:val="28"/>
          <w:szCs w:val="28"/>
        </w:rPr>
        <w:t xml:space="preserve"> и промышленных предприятий </w:t>
      </w:r>
      <w:r w:rsidR="00020888">
        <w:rPr>
          <w:rFonts w:ascii="Times New Roman" w:hAnsi="Times New Roman" w:cs="Times New Roman"/>
          <w:sz w:val="28"/>
          <w:szCs w:val="28"/>
        </w:rPr>
        <w:lastRenderedPageBreak/>
        <w:t>гражданского назначения</w:t>
      </w:r>
      <w:r>
        <w:rPr>
          <w:rFonts w:ascii="Times New Roman" w:hAnsi="Times New Roman" w:cs="Times New Roman"/>
          <w:sz w:val="28"/>
          <w:szCs w:val="28"/>
        </w:rPr>
        <w:t>), «Рентабельность и эффективность» (10% для нефтегазового сектора вместо 5% для ОПК</w:t>
      </w:r>
      <w:r w:rsidR="00020888">
        <w:rPr>
          <w:rFonts w:ascii="Times New Roman" w:hAnsi="Times New Roman" w:cs="Times New Roman"/>
          <w:sz w:val="28"/>
          <w:szCs w:val="28"/>
        </w:rPr>
        <w:t xml:space="preserve"> и промышленных предприятий</w:t>
      </w:r>
      <w:r>
        <w:rPr>
          <w:rFonts w:ascii="Times New Roman" w:hAnsi="Times New Roman" w:cs="Times New Roman"/>
          <w:sz w:val="28"/>
          <w:szCs w:val="28"/>
        </w:rPr>
        <w:t>) и снизило вес показателя «Кредитное плечо и покрытие» (25% для нефтегазового сектора вместо 35% у организаций ОПК</w:t>
      </w:r>
      <w:r w:rsidR="00020888">
        <w:rPr>
          <w:rFonts w:ascii="Times New Roman" w:hAnsi="Times New Roman" w:cs="Times New Roman"/>
          <w:sz w:val="28"/>
          <w:szCs w:val="28"/>
        </w:rPr>
        <w:t xml:space="preserve"> и промышленных предприятий</w:t>
      </w:r>
      <w:r>
        <w:rPr>
          <w:rFonts w:ascii="Times New Roman" w:hAnsi="Times New Roman" w:cs="Times New Roman"/>
          <w:sz w:val="28"/>
          <w:szCs w:val="28"/>
        </w:rPr>
        <w:t>).</w:t>
      </w:r>
      <w:r w:rsidR="00304928">
        <w:rPr>
          <w:rFonts w:ascii="Times New Roman" w:hAnsi="Times New Roman" w:cs="Times New Roman"/>
          <w:sz w:val="28"/>
          <w:szCs w:val="28"/>
        </w:rPr>
        <w:t xml:space="preserve"> </w:t>
      </w:r>
      <w:r w:rsidR="00950FE5">
        <w:rPr>
          <w:rFonts w:ascii="Times New Roman" w:hAnsi="Times New Roman" w:cs="Times New Roman"/>
          <w:sz w:val="28"/>
          <w:szCs w:val="28"/>
        </w:rPr>
        <w:t xml:space="preserve">В структуре фактора «Рентабельность и эффективность» (10%) введены 2 </w:t>
      </w:r>
      <w:proofErr w:type="spellStart"/>
      <w:r w:rsidR="00950FE5">
        <w:rPr>
          <w:rFonts w:ascii="Times New Roman" w:hAnsi="Times New Roman" w:cs="Times New Roman"/>
          <w:sz w:val="28"/>
          <w:szCs w:val="28"/>
        </w:rPr>
        <w:t>субфактора</w:t>
      </w:r>
      <w:proofErr w:type="spellEnd"/>
      <w:r w:rsidR="00950FE5">
        <w:rPr>
          <w:rFonts w:ascii="Times New Roman" w:hAnsi="Times New Roman" w:cs="Times New Roman"/>
          <w:sz w:val="28"/>
          <w:szCs w:val="28"/>
        </w:rPr>
        <w:t>: «</w:t>
      </w:r>
      <w:r w:rsidR="00950FE5">
        <w:rPr>
          <w:rFonts w:ascii="Times New Roman CYR" w:hAnsi="Times New Roman CYR" w:cs="Times New Roman CYR"/>
          <w:sz w:val="28"/>
          <w:szCs w:val="28"/>
          <w:lang w:val="en-US"/>
        </w:rPr>
        <w:t>EBIT</w:t>
      </w:r>
      <w:r w:rsidR="00950FE5">
        <w:rPr>
          <w:rFonts w:ascii="Times New Roman CYR" w:hAnsi="Times New Roman CYR" w:cs="Times New Roman CYR"/>
          <w:sz w:val="28"/>
          <w:szCs w:val="28"/>
        </w:rPr>
        <w:t>/Сред. Балансовая стоимость» (5%) и «</w:t>
      </w:r>
      <w:r w:rsidR="00950FE5">
        <w:rPr>
          <w:rFonts w:ascii="Times New Roman CYR" w:hAnsi="Times New Roman CYR" w:cs="Times New Roman CYR"/>
          <w:sz w:val="28"/>
          <w:szCs w:val="28"/>
          <w:lang w:val="en-US"/>
        </w:rPr>
        <w:t>EBIT</w:t>
      </w:r>
      <w:r w:rsidR="00950FE5">
        <w:rPr>
          <w:rFonts w:ascii="Times New Roman CYR" w:hAnsi="Times New Roman CYR" w:cs="Times New Roman CYR"/>
          <w:sz w:val="28"/>
          <w:szCs w:val="28"/>
        </w:rPr>
        <w:t xml:space="preserve">/Общая производительность, баррели» (5%), а в структуре фактора «Кредитное плечо и покрытие» (25%) наряду с </w:t>
      </w:r>
      <w:proofErr w:type="spellStart"/>
      <w:r w:rsidR="00950FE5">
        <w:rPr>
          <w:rFonts w:ascii="Times New Roman CYR" w:hAnsi="Times New Roman CYR" w:cs="Times New Roman CYR"/>
          <w:sz w:val="28"/>
          <w:szCs w:val="28"/>
        </w:rPr>
        <w:t>субфакторами</w:t>
      </w:r>
      <w:proofErr w:type="spellEnd"/>
      <w:r w:rsidR="00950FE5">
        <w:rPr>
          <w:rFonts w:ascii="Times New Roman CYR" w:hAnsi="Times New Roman CYR" w:cs="Times New Roman CYR"/>
          <w:sz w:val="28"/>
          <w:szCs w:val="28"/>
        </w:rPr>
        <w:t xml:space="preserve"> «Синдицированный кредит/Чистый долг» (10%) и «</w:t>
      </w:r>
      <w:r w:rsidR="00950FE5">
        <w:rPr>
          <w:rFonts w:ascii="Times New Roman CYR" w:hAnsi="Times New Roman CYR" w:cs="Times New Roman CYR"/>
          <w:sz w:val="28"/>
          <w:szCs w:val="28"/>
          <w:lang w:val="en-US"/>
        </w:rPr>
        <w:t>EBIT</w:t>
      </w:r>
      <w:r w:rsidR="00950FE5">
        <w:rPr>
          <w:rFonts w:ascii="Times New Roman CYR" w:hAnsi="Times New Roman CYR" w:cs="Times New Roman CYR"/>
          <w:sz w:val="28"/>
          <w:szCs w:val="28"/>
        </w:rPr>
        <w:t xml:space="preserve">/Процентные расходы» (7,5%) введен </w:t>
      </w:r>
      <w:proofErr w:type="spellStart"/>
      <w:r w:rsidR="00950FE5">
        <w:rPr>
          <w:rFonts w:ascii="Times New Roman CYR" w:hAnsi="Times New Roman CYR" w:cs="Times New Roman CYR"/>
          <w:sz w:val="28"/>
          <w:szCs w:val="28"/>
        </w:rPr>
        <w:t>субфактор</w:t>
      </w:r>
      <w:proofErr w:type="spellEnd"/>
      <w:r w:rsidR="00950FE5">
        <w:rPr>
          <w:rFonts w:ascii="Times New Roman CYR" w:hAnsi="Times New Roman CYR" w:cs="Times New Roman CYR"/>
          <w:sz w:val="28"/>
          <w:szCs w:val="28"/>
        </w:rPr>
        <w:t xml:space="preserve"> «Общий долг/Балансовая капитализация» (7,5%).</w:t>
      </w:r>
      <w:r w:rsidR="00A77059">
        <w:rPr>
          <w:rFonts w:ascii="Times New Roman CYR" w:hAnsi="Times New Roman CYR" w:cs="Times New Roman CYR"/>
          <w:sz w:val="28"/>
          <w:szCs w:val="28"/>
        </w:rPr>
        <w:t xml:space="preserve"> Показатель «Общий долг/Балансовая капитализация» также </w:t>
      </w:r>
      <w:r w:rsidR="00C142A0">
        <w:rPr>
          <w:rFonts w:ascii="Times New Roman CYR" w:hAnsi="Times New Roman CYR" w:cs="Times New Roman CYR"/>
          <w:sz w:val="28"/>
          <w:szCs w:val="28"/>
        </w:rPr>
        <w:t>учтен</w:t>
      </w:r>
      <w:r w:rsidR="00A77059">
        <w:rPr>
          <w:rFonts w:ascii="Times New Roman CYR" w:hAnsi="Times New Roman CYR" w:cs="Times New Roman CYR"/>
          <w:sz w:val="28"/>
          <w:szCs w:val="28"/>
        </w:rPr>
        <w:t xml:space="preserve"> в матрице финансовых рисков </w:t>
      </w:r>
      <w:r w:rsidR="00A77059">
        <w:rPr>
          <w:rFonts w:ascii="Times New Roman" w:hAnsi="Times New Roman" w:cs="Times New Roman"/>
          <w:sz w:val="28"/>
          <w:szCs w:val="28"/>
          <w:lang w:val="en-US"/>
        </w:rPr>
        <w:t>Standard</w:t>
      </w:r>
      <w:r w:rsidR="00A77059" w:rsidRPr="00FB752F">
        <w:rPr>
          <w:rFonts w:ascii="Times New Roman" w:hAnsi="Times New Roman" w:cs="Times New Roman"/>
          <w:sz w:val="28"/>
          <w:szCs w:val="28"/>
        </w:rPr>
        <w:t xml:space="preserve"> &amp;</w:t>
      </w:r>
      <w:proofErr w:type="spellStart"/>
      <w:r w:rsidR="00A77059">
        <w:rPr>
          <w:rFonts w:ascii="Times New Roman" w:hAnsi="Times New Roman" w:cs="Times New Roman"/>
          <w:sz w:val="28"/>
          <w:szCs w:val="28"/>
          <w:lang w:val="en-US"/>
        </w:rPr>
        <w:t>Poors</w:t>
      </w:r>
      <w:proofErr w:type="spellEnd"/>
      <w:r w:rsidR="00E1221A">
        <w:rPr>
          <w:rStyle w:val="aa"/>
          <w:rFonts w:ascii="Times New Roman" w:hAnsi="Times New Roman" w:cs="Times New Roman"/>
          <w:sz w:val="28"/>
          <w:szCs w:val="28"/>
          <w:lang w:val="en-US"/>
        </w:rPr>
        <w:footnoteReference w:id="35"/>
      </w:r>
      <w:r w:rsidR="00A77059">
        <w:rPr>
          <w:rFonts w:ascii="Times New Roman" w:hAnsi="Times New Roman" w:cs="Times New Roman"/>
          <w:sz w:val="28"/>
          <w:szCs w:val="28"/>
        </w:rPr>
        <w:t>.</w:t>
      </w:r>
      <w:r w:rsidR="00A77059" w:rsidRPr="00A77059">
        <w:rPr>
          <w:rFonts w:ascii="Times New Roman" w:hAnsi="Times New Roman" w:cs="Times New Roman"/>
          <w:sz w:val="28"/>
          <w:szCs w:val="28"/>
        </w:rPr>
        <w:t xml:space="preserve"> </w:t>
      </w:r>
    </w:p>
    <w:p w:rsidR="00860FDE" w:rsidRDefault="00860FDE"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Снижение весового коэффициента показателя «Рентабельность и эффективность» для ОПК связано с государственным регулированием цен на товары, работы и услуги, поставляемые по государственному оборонному заказу</w:t>
      </w:r>
      <w:r w:rsidR="000B7DBA">
        <w:rPr>
          <w:rFonts w:ascii="Times New Roman" w:hAnsi="Times New Roman" w:cs="Times New Roman"/>
          <w:sz w:val="28"/>
          <w:szCs w:val="28"/>
        </w:rPr>
        <w:t xml:space="preserve"> </w:t>
      </w:r>
      <w:r w:rsidR="00CC0A80">
        <w:rPr>
          <w:rFonts w:ascii="Times New Roman" w:hAnsi="Times New Roman" w:cs="Times New Roman"/>
          <w:sz w:val="28"/>
          <w:szCs w:val="28"/>
        </w:rPr>
        <w:t>и мобилизационным заданиям</w:t>
      </w:r>
      <w:r w:rsidR="00020888">
        <w:rPr>
          <w:rFonts w:ascii="Times New Roman" w:hAnsi="Times New Roman" w:cs="Times New Roman"/>
          <w:sz w:val="28"/>
          <w:szCs w:val="28"/>
        </w:rPr>
        <w:t xml:space="preserve"> промышленным предприятиям</w:t>
      </w:r>
      <w:r w:rsidR="00CC0A80">
        <w:rPr>
          <w:rFonts w:ascii="Times New Roman" w:hAnsi="Times New Roman" w:cs="Times New Roman"/>
          <w:sz w:val="28"/>
          <w:szCs w:val="28"/>
        </w:rPr>
        <w:t xml:space="preserve"> </w:t>
      </w:r>
      <w:r w:rsidR="000B7DBA">
        <w:rPr>
          <w:rFonts w:ascii="Times New Roman" w:hAnsi="Times New Roman" w:cs="Times New Roman"/>
          <w:sz w:val="28"/>
          <w:szCs w:val="28"/>
        </w:rPr>
        <w:t>в</w:t>
      </w:r>
      <w:r w:rsidR="00CC0A80">
        <w:rPr>
          <w:rFonts w:ascii="Times New Roman" w:hAnsi="Times New Roman" w:cs="Times New Roman"/>
          <w:sz w:val="28"/>
          <w:szCs w:val="28"/>
        </w:rPr>
        <w:t>о многих</w:t>
      </w:r>
      <w:r w:rsidR="000B7DBA">
        <w:rPr>
          <w:rFonts w:ascii="Times New Roman" w:hAnsi="Times New Roman" w:cs="Times New Roman"/>
          <w:sz w:val="28"/>
          <w:szCs w:val="28"/>
        </w:rPr>
        <w:t xml:space="preserve"> </w:t>
      </w:r>
      <w:r w:rsidR="00CC0A80">
        <w:rPr>
          <w:rFonts w:ascii="Times New Roman" w:hAnsi="Times New Roman" w:cs="Times New Roman"/>
          <w:sz w:val="28"/>
          <w:szCs w:val="28"/>
        </w:rPr>
        <w:t>странах</w:t>
      </w:r>
      <w:r>
        <w:rPr>
          <w:rFonts w:ascii="Times New Roman" w:hAnsi="Times New Roman" w:cs="Times New Roman"/>
          <w:sz w:val="28"/>
          <w:szCs w:val="28"/>
        </w:rPr>
        <w:t>, а также определением предельного уровня рентабельности (прибыли)</w:t>
      </w:r>
      <w:r>
        <w:rPr>
          <w:rStyle w:val="aa"/>
          <w:rFonts w:ascii="Times New Roman" w:hAnsi="Times New Roman" w:cs="Times New Roman"/>
          <w:sz w:val="28"/>
          <w:szCs w:val="28"/>
        </w:rPr>
        <w:footnoteReference w:id="36"/>
      </w:r>
      <w:r>
        <w:rPr>
          <w:rFonts w:ascii="Times New Roman" w:hAnsi="Times New Roman" w:cs="Times New Roman"/>
          <w:sz w:val="28"/>
          <w:szCs w:val="28"/>
        </w:rPr>
        <w:t>.</w:t>
      </w:r>
      <w:r w:rsidR="00453B4B">
        <w:rPr>
          <w:rFonts w:ascii="Times New Roman" w:hAnsi="Times New Roman" w:cs="Times New Roman"/>
          <w:sz w:val="28"/>
          <w:szCs w:val="28"/>
        </w:rPr>
        <w:t xml:space="preserve"> </w:t>
      </w:r>
    </w:p>
    <w:p w:rsidR="00D13C69" w:rsidRDefault="00453B4B" w:rsidP="001B3945">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высокий вес показателя «Кредитное плечо и покрытие» для ОПК </w:t>
      </w:r>
      <w:r w:rsidR="00020888">
        <w:rPr>
          <w:rFonts w:ascii="Times New Roman" w:hAnsi="Times New Roman" w:cs="Times New Roman"/>
          <w:sz w:val="28"/>
          <w:szCs w:val="28"/>
        </w:rPr>
        <w:t xml:space="preserve">и промышленных предприятий, выпускающих гражданскую продукцию, </w:t>
      </w:r>
      <w:r>
        <w:rPr>
          <w:rFonts w:ascii="Times New Roman" w:hAnsi="Times New Roman" w:cs="Times New Roman"/>
          <w:sz w:val="28"/>
          <w:szCs w:val="28"/>
        </w:rPr>
        <w:t>означает повышенн</w:t>
      </w:r>
      <w:r w:rsidR="00020888">
        <w:rPr>
          <w:rFonts w:ascii="Times New Roman" w:hAnsi="Times New Roman" w:cs="Times New Roman"/>
          <w:sz w:val="28"/>
          <w:szCs w:val="28"/>
        </w:rPr>
        <w:t>ую потребность в собственных оборотных средствах</w:t>
      </w:r>
      <w:r w:rsidR="006A3E1E">
        <w:rPr>
          <w:rFonts w:ascii="Times New Roman" w:hAnsi="Times New Roman" w:cs="Times New Roman"/>
          <w:sz w:val="28"/>
          <w:szCs w:val="28"/>
        </w:rPr>
        <w:t xml:space="preserve"> (капиталоемкие отрасли)</w:t>
      </w:r>
      <w:r w:rsidR="00020888">
        <w:rPr>
          <w:rFonts w:ascii="Times New Roman" w:hAnsi="Times New Roman" w:cs="Times New Roman"/>
          <w:sz w:val="28"/>
          <w:szCs w:val="28"/>
        </w:rPr>
        <w:t>,</w:t>
      </w:r>
      <w:r>
        <w:rPr>
          <w:rFonts w:ascii="Times New Roman" w:hAnsi="Times New Roman" w:cs="Times New Roman"/>
          <w:sz w:val="28"/>
          <w:szCs w:val="28"/>
        </w:rPr>
        <w:t xml:space="preserve"> </w:t>
      </w:r>
      <w:r w:rsidR="00752F26">
        <w:rPr>
          <w:rFonts w:ascii="Times New Roman" w:hAnsi="Times New Roman" w:cs="Times New Roman"/>
          <w:sz w:val="28"/>
          <w:szCs w:val="28"/>
        </w:rPr>
        <w:t>зависимость от кредитного качества контрагентов</w:t>
      </w:r>
      <w:r w:rsidR="00BF0106">
        <w:rPr>
          <w:rFonts w:ascii="Times New Roman" w:hAnsi="Times New Roman" w:cs="Times New Roman"/>
          <w:sz w:val="28"/>
          <w:szCs w:val="28"/>
        </w:rPr>
        <w:t>, высокий уровень концентрации кредитных портфелей</w:t>
      </w:r>
      <w:r>
        <w:rPr>
          <w:rFonts w:ascii="Times New Roman" w:hAnsi="Times New Roman" w:cs="Times New Roman"/>
          <w:sz w:val="28"/>
          <w:szCs w:val="28"/>
        </w:rPr>
        <w:t xml:space="preserve"> и возможные ограничения на привлечение новых кредитов. </w:t>
      </w:r>
      <w:r w:rsidR="00752F26">
        <w:rPr>
          <w:rFonts w:ascii="Times New Roman" w:hAnsi="Times New Roman" w:cs="Times New Roman"/>
          <w:sz w:val="28"/>
          <w:szCs w:val="28"/>
        </w:rPr>
        <w:t>При наличии у организации в</w:t>
      </w:r>
      <w:r>
        <w:rPr>
          <w:rFonts w:ascii="Times New Roman" w:hAnsi="Times New Roman" w:cs="Times New Roman"/>
          <w:sz w:val="28"/>
          <w:szCs w:val="28"/>
        </w:rPr>
        <w:t>ысок</w:t>
      </w:r>
      <w:r w:rsidR="00752F26">
        <w:rPr>
          <w:rFonts w:ascii="Times New Roman" w:hAnsi="Times New Roman" w:cs="Times New Roman"/>
          <w:sz w:val="28"/>
          <w:szCs w:val="28"/>
        </w:rPr>
        <w:t>ой</w:t>
      </w:r>
      <w:r>
        <w:rPr>
          <w:rFonts w:ascii="Times New Roman" w:hAnsi="Times New Roman" w:cs="Times New Roman"/>
          <w:sz w:val="28"/>
          <w:szCs w:val="28"/>
        </w:rPr>
        <w:t xml:space="preserve"> долгов</w:t>
      </w:r>
      <w:r w:rsidR="00752F26">
        <w:rPr>
          <w:rFonts w:ascii="Times New Roman" w:hAnsi="Times New Roman" w:cs="Times New Roman"/>
          <w:sz w:val="28"/>
          <w:szCs w:val="28"/>
        </w:rPr>
        <w:t>ой</w:t>
      </w:r>
      <w:r>
        <w:rPr>
          <w:rFonts w:ascii="Times New Roman" w:hAnsi="Times New Roman" w:cs="Times New Roman"/>
          <w:sz w:val="28"/>
          <w:szCs w:val="28"/>
        </w:rPr>
        <w:t xml:space="preserve"> нагрузк</w:t>
      </w:r>
      <w:r w:rsidR="00752F26">
        <w:rPr>
          <w:rFonts w:ascii="Times New Roman" w:hAnsi="Times New Roman" w:cs="Times New Roman"/>
          <w:sz w:val="28"/>
          <w:szCs w:val="28"/>
        </w:rPr>
        <w:t>и</w:t>
      </w:r>
      <w:r>
        <w:rPr>
          <w:rFonts w:ascii="Times New Roman" w:hAnsi="Times New Roman" w:cs="Times New Roman"/>
          <w:sz w:val="28"/>
          <w:szCs w:val="28"/>
        </w:rPr>
        <w:t>, в свою очередь, усиливает</w:t>
      </w:r>
      <w:r w:rsidR="00752F26">
        <w:rPr>
          <w:rFonts w:ascii="Times New Roman" w:hAnsi="Times New Roman" w:cs="Times New Roman"/>
          <w:sz w:val="28"/>
          <w:szCs w:val="28"/>
        </w:rPr>
        <w:t>ся</w:t>
      </w:r>
      <w:r>
        <w:rPr>
          <w:rFonts w:ascii="Times New Roman" w:hAnsi="Times New Roman" w:cs="Times New Roman"/>
          <w:sz w:val="28"/>
          <w:szCs w:val="28"/>
        </w:rPr>
        <w:t xml:space="preserve"> зависимость от существующих цепочек производства и поставок, задействованных в них контрагентов, что </w:t>
      </w:r>
      <w:r w:rsidR="003F4DFF">
        <w:rPr>
          <w:rFonts w:ascii="Times New Roman" w:hAnsi="Times New Roman" w:cs="Times New Roman"/>
          <w:sz w:val="28"/>
          <w:szCs w:val="28"/>
        </w:rPr>
        <w:t xml:space="preserve">затрудняет </w:t>
      </w:r>
      <w:r>
        <w:rPr>
          <w:rFonts w:ascii="Times New Roman" w:hAnsi="Times New Roman" w:cs="Times New Roman"/>
          <w:sz w:val="28"/>
          <w:szCs w:val="28"/>
        </w:rPr>
        <w:t>диверсификаци</w:t>
      </w:r>
      <w:r w:rsidR="003F4DFF">
        <w:rPr>
          <w:rFonts w:ascii="Times New Roman" w:hAnsi="Times New Roman" w:cs="Times New Roman"/>
          <w:sz w:val="28"/>
          <w:szCs w:val="28"/>
        </w:rPr>
        <w:t>ю</w:t>
      </w:r>
      <w:r>
        <w:rPr>
          <w:rFonts w:ascii="Times New Roman" w:hAnsi="Times New Roman" w:cs="Times New Roman"/>
          <w:sz w:val="28"/>
          <w:szCs w:val="28"/>
        </w:rPr>
        <w:t xml:space="preserve"> производства.</w:t>
      </w:r>
    </w:p>
    <w:p w:rsidR="00CC0A80" w:rsidRDefault="00CC0A80" w:rsidP="002456FF">
      <w:pPr>
        <w:spacing w:after="0" w:line="300" w:lineRule="auto"/>
        <w:ind w:firstLine="709"/>
        <w:jc w:val="both"/>
        <w:rPr>
          <w:rFonts w:ascii="Times New Roman CYR" w:hAnsi="Times New Roman CYR" w:cs="Times New Roman CYR"/>
          <w:sz w:val="28"/>
          <w:szCs w:val="28"/>
        </w:rPr>
      </w:pPr>
      <w:r>
        <w:rPr>
          <w:rFonts w:ascii="Times New Roman" w:hAnsi="Times New Roman" w:cs="Times New Roman"/>
          <w:sz w:val="28"/>
          <w:szCs w:val="28"/>
        </w:rPr>
        <w:t xml:space="preserve">Международным  рейтинговым агентством </w:t>
      </w:r>
      <w:r>
        <w:rPr>
          <w:rFonts w:ascii="Times New Roman" w:hAnsi="Times New Roman" w:cs="Times New Roman"/>
          <w:sz w:val="28"/>
          <w:szCs w:val="28"/>
          <w:lang w:val="en-US"/>
        </w:rPr>
        <w:t>Standard</w:t>
      </w:r>
      <w:r w:rsidRPr="00FB752F">
        <w:rPr>
          <w:rFonts w:ascii="Times New Roman" w:hAnsi="Times New Roman" w:cs="Times New Roman"/>
          <w:sz w:val="28"/>
          <w:szCs w:val="28"/>
        </w:rPr>
        <w:t xml:space="preserve"> &amp;</w:t>
      </w:r>
      <w:proofErr w:type="spellStart"/>
      <w:r>
        <w:rPr>
          <w:rFonts w:ascii="Times New Roman" w:hAnsi="Times New Roman" w:cs="Times New Roman"/>
          <w:sz w:val="28"/>
          <w:szCs w:val="28"/>
          <w:lang w:val="en-US"/>
        </w:rPr>
        <w:t>Poors</w:t>
      </w:r>
      <w:proofErr w:type="spellEnd"/>
      <w:r>
        <w:rPr>
          <w:rFonts w:ascii="Times New Roman" w:hAnsi="Times New Roman" w:cs="Times New Roman"/>
          <w:sz w:val="28"/>
          <w:szCs w:val="28"/>
        </w:rPr>
        <w:t xml:space="preserve"> на основе данных о </w:t>
      </w:r>
      <w:r>
        <w:rPr>
          <w:rFonts w:ascii="Times New Roman CYR" w:hAnsi="Times New Roman CYR" w:cs="Times New Roman CYR"/>
          <w:sz w:val="28"/>
          <w:szCs w:val="28"/>
          <w:lang w:val="en-US"/>
        </w:rPr>
        <w:t>EBITDA</w:t>
      </w:r>
      <w:r>
        <w:rPr>
          <w:rFonts w:ascii="Times New Roman CYR" w:hAnsi="Times New Roman CYR" w:cs="Times New Roman CYR"/>
          <w:sz w:val="28"/>
          <w:szCs w:val="28"/>
        </w:rPr>
        <w:t xml:space="preserve">, рентабельности по </w:t>
      </w:r>
      <w:r>
        <w:rPr>
          <w:rFonts w:ascii="Times New Roman CYR" w:hAnsi="Times New Roman CYR" w:cs="Times New Roman CYR"/>
          <w:sz w:val="28"/>
          <w:szCs w:val="28"/>
          <w:lang w:val="en-US"/>
        </w:rPr>
        <w:t>EBITDA</w:t>
      </w:r>
      <w:r>
        <w:rPr>
          <w:rFonts w:ascii="Times New Roman CYR" w:hAnsi="Times New Roman CYR" w:cs="Times New Roman CYR"/>
          <w:sz w:val="28"/>
          <w:szCs w:val="28"/>
        </w:rPr>
        <w:t xml:space="preserve"> и рентабельности капитала в целях изучения эффективности и доходности использования капитала </w:t>
      </w:r>
      <w:r>
        <w:rPr>
          <w:rFonts w:ascii="Times New Roman CYR" w:hAnsi="Times New Roman CYR" w:cs="Times New Roman CYR"/>
          <w:sz w:val="28"/>
          <w:szCs w:val="28"/>
        </w:rPr>
        <w:lastRenderedPageBreak/>
        <w:t xml:space="preserve">проведен анализ </w:t>
      </w:r>
      <w:proofErr w:type="spellStart"/>
      <w:r>
        <w:rPr>
          <w:rFonts w:ascii="Times New Roman CYR" w:hAnsi="Times New Roman CYR" w:cs="Times New Roman CYR"/>
          <w:sz w:val="28"/>
          <w:szCs w:val="28"/>
        </w:rPr>
        <w:t>волатильности</w:t>
      </w:r>
      <w:proofErr w:type="spellEnd"/>
      <w:r>
        <w:rPr>
          <w:rFonts w:ascii="Times New Roman CYR" w:hAnsi="Times New Roman CYR" w:cs="Times New Roman CYR"/>
          <w:sz w:val="28"/>
          <w:szCs w:val="28"/>
        </w:rPr>
        <w:t xml:space="preserve"> показателей рентабельности</w:t>
      </w:r>
      <w:r w:rsidR="00C75E34">
        <w:rPr>
          <w:rFonts w:ascii="Times New Roman CYR" w:hAnsi="Times New Roman CYR" w:cs="Times New Roman CYR"/>
          <w:sz w:val="28"/>
          <w:szCs w:val="28"/>
        </w:rPr>
        <w:t xml:space="preserve"> 3400 организаций различных стран и отраслей экономики за 20</w:t>
      </w:r>
      <w:r w:rsidR="0007279A">
        <w:rPr>
          <w:rFonts w:ascii="Times New Roman CYR" w:hAnsi="Times New Roman CYR" w:cs="Times New Roman CYR"/>
          <w:sz w:val="28"/>
          <w:szCs w:val="28"/>
        </w:rPr>
        <w:t>10-2017 годы</w:t>
      </w:r>
      <w:r w:rsidR="00C75E34">
        <w:rPr>
          <w:rStyle w:val="aa"/>
          <w:rFonts w:ascii="Times New Roman CYR" w:hAnsi="Times New Roman CYR" w:cs="Times New Roman CYR"/>
          <w:sz w:val="28"/>
          <w:szCs w:val="28"/>
        </w:rPr>
        <w:footnoteReference w:id="37"/>
      </w:r>
      <w:r w:rsidR="00C75E34">
        <w:rPr>
          <w:rFonts w:ascii="Times New Roman CYR" w:hAnsi="Times New Roman CYR" w:cs="Times New Roman CYR"/>
          <w:sz w:val="28"/>
          <w:szCs w:val="28"/>
        </w:rPr>
        <w:t>.</w:t>
      </w:r>
    </w:p>
    <w:p w:rsidR="0007279A" w:rsidRDefault="0007279A" w:rsidP="002456FF">
      <w:pPr>
        <w:spacing w:after="0" w:line="30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оценкам аналитиков </w:t>
      </w:r>
      <w:r>
        <w:rPr>
          <w:rFonts w:ascii="Times New Roman" w:hAnsi="Times New Roman" w:cs="Times New Roman"/>
          <w:sz w:val="28"/>
          <w:szCs w:val="28"/>
          <w:lang w:val="en-US"/>
        </w:rPr>
        <w:t>Standard</w:t>
      </w:r>
      <w:r w:rsidRPr="00FB752F">
        <w:rPr>
          <w:rFonts w:ascii="Times New Roman" w:hAnsi="Times New Roman" w:cs="Times New Roman"/>
          <w:sz w:val="28"/>
          <w:szCs w:val="28"/>
        </w:rPr>
        <w:t xml:space="preserve"> &amp;</w:t>
      </w:r>
      <w:proofErr w:type="spellStart"/>
      <w:r>
        <w:rPr>
          <w:rFonts w:ascii="Times New Roman" w:hAnsi="Times New Roman" w:cs="Times New Roman"/>
          <w:sz w:val="28"/>
          <w:szCs w:val="28"/>
          <w:lang w:val="en-US"/>
        </w:rPr>
        <w:t>Poors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волатильность</w:t>
      </w:r>
      <w:proofErr w:type="spellEnd"/>
      <w:r>
        <w:rPr>
          <w:rFonts w:ascii="Times New Roman" w:hAnsi="Times New Roman" w:cs="Times New Roman"/>
          <w:sz w:val="28"/>
          <w:szCs w:val="28"/>
        </w:rPr>
        <w:t xml:space="preserve"> </w:t>
      </w:r>
      <w:r w:rsidR="00295ECD">
        <w:rPr>
          <w:rFonts w:ascii="Times New Roman" w:hAnsi="Times New Roman" w:cs="Times New Roman"/>
          <w:sz w:val="28"/>
          <w:szCs w:val="28"/>
        </w:rPr>
        <w:t xml:space="preserve">показателей организаций </w:t>
      </w:r>
      <w:r>
        <w:rPr>
          <w:rFonts w:ascii="Times New Roman" w:hAnsi="Times New Roman" w:cs="Times New Roman"/>
          <w:sz w:val="28"/>
          <w:szCs w:val="28"/>
        </w:rPr>
        <w:t xml:space="preserve">ОПК (аэрокосмическая и оборонная промышленность) в целом незначительна и составила от 4 до 39%. Более высокие показатели по </w:t>
      </w:r>
      <w:r>
        <w:rPr>
          <w:rFonts w:ascii="Times New Roman CYR" w:hAnsi="Times New Roman CYR" w:cs="Times New Roman CYR"/>
          <w:sz w:val="28"/>
          <w:szCs w:val="28"/>
          <w:lang w:val="en-US"/>
        </w:rPr>
        <w:t>EBITDA</w:t>
      </w:r>
      <w:r w:rsidR="008D542C">
        <w:rPr>
          <w:rFonts w:ascii="Times New Roman CYR" w:hAnsi="Times New Roman CYR" w:cs="Times New Roman CYR"/>
          <w:sz w:val="28"/>
          <w:szCs w:val="28"/>
        </w:rPr>
        <w:t xml:space="preserve"> за этот период показали предприятия металлургии (от 11 до 67%), нефтегазового машиностроения и бурения (от 19 до 75%) и автомобилестроение (от 11 до 88%). Более низкие показатели по </w:t>
      </w:r>
      <w:r w:rsidR="008D542C">
        <w:rPr>
          <w:rFonts w:ascii="Times New Roman CYR" w:hAnsi="Times New Roman CYR" w:cs="Times New Roman CYR"/>
          <w:sz w:val="28"/>
          <w:szCs w:val="28"/>
          <w:lang w:val="en-US"/>
        </w:rPr>
        <w:t>EBITDA</w:t>
      </w:r>
      <w:r w:rsidR="008D542C">
        <w:rPr>
          <w:rFonts w:ascii="Times New Roman CYR" w:hAnsi="Times New Roman CYR" w:cs="Times New Roman CYR"/>
          <w:sz w:val="28"/>
          <w:szCs w:val="28"/>
        </w:rPr>
        <w:t>, чем у предприятий ОПК, в</w:t>
      </w:r>
      <w:r w:rsidR="00295ECD">
        <w:rPr>
          <w:rFonts w:ascii="Times New Roman CYR" w:hAnsi="Times New Roman CYR" w:cs="Times New Roman CYR"/>
          <w:sz w:val="28"/>
          <w:szCs w:val="28"/>
        </w:rPr>
        <w:t xml:space="preserve"> </w:t>
      </w:r>
      <w:r w:rsidR="008D542C">
        <w:rPr>
          <w:rFonts w:ascii="Times New Roman CYR" w:hAnsi="Times New Roman CYR" w:cs="Times New Roman CYR"/>
          <w:sz w:val="28"/>
          <w:szCs w:val="28"/>
        </w:rPr>
        <w:t xml:space="preserve">7-летнем периоде зафиксированы в химической промышленности (от 6 до 32%), сфере пассажирского транспорта (от 6 до 24%) и железнодорожных перевозок (от 4 до 22%). </w:t>
      </w:r>
    </w:p>
    <w:p w:rsidR="008D542C" w:rsidRDefault="006B74D3" w:rsidP="002456FF">
      <w:pPr>
        <w:spacing w:after="0" w:line="30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Волатильность по рентабельности капитала в организациях ОПК </w:t>
      </w:r>
      <w:r w:rsidR="00EF08B1">
        <w:rPr>
          <w:rFonts w:ascii="Times New Roman CYR" w:hAnsi="Times New Roman CYR" w:cs="Times New Roman CYR"/>
          <w:sz w:val="28"/>
          <w:szCs w:val="28"/>
        </w:rPr>
        <w:t>также находится на умеренном уровне (от 7 до 98%). Соответствующие показатели выше в автомобилестроении</w:t>
      </w:r>
      <w:r w:rsidR="00452DC4">
        <w:rPr>
          <w:rFonts w:ascii="Times New Roman CYR" w:hAnsi="Times New Roman CYR" w:cs="Times New Roman CYR"/>
          <w:sz w:val="28"/>
          <w:szCs w:val="28"/>
        </w:rPr>
        <w:t xml:space="preserve"> (от 13 до 122%), металлургии (от 21 до 272%), нефтегазовом машиностроении и бурении (от 22 до 405%). Более низкие показатели, чем у ОПК, отмечены в химической промышленности (от 6 до 76%) и железнодорожных перевозках (от 6 до 86%).</w:t>
      </w:r>
    </w:p>
    <w:p w:rsidR="008B2B52" w:rsidRDefault="008B2B52" w:rsidP="002456FF">
      <w:pPr>
        <w:spacing w:after="0" w:line="30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о рентабельности</w:t>
      </w:r>
      <w:r w:rsidR="00B15809">
        <w:rPr>
          <w:rFonts w:ascii="Times New Roman CYR" w:hAnsi="Times New Roman CYR" w:cs="Times New Roman CYR"/>
          <w:sz w:val="28"/>
          <w:szCs w:val="28"/>
        </w:rPr>
        <w:t xml:space="preserve"> отражает качество управления капиталом и служит инструментом инвестиционной, инновационной, ценовой, производственной и маркетинговой стратегии</w:t>
      </w:r>
      <w:r>
        <w:rPr>
          <w:rStyle w:val="aa"/>
          <w:rFonts w:ascii="Times New Roman CYR" w:hAnsi="Times New Roman CYR" w:cs="Times New Roman CYR"/>
          <w:sz w:val="28"/>
          <w:szCs w:val="28"/>
        </w:rPr>
        <w:footnoteReference w:id="38"/>
      </w:r>
      <w:r w:rsidR="00B15809">
        <w:rPr>
          <w:rFonts w:ascii="Times New Roman CYR" w:hAnsi="Times New Roman CYR" w:cs="Times New Roman CYR"/>
          <w:sz w:val="28"/>
          <w:szCs w:val="28"/>
        </w:rPr>
        <w:t>.</w:t>
      </w:r>
    </w:p>
    <w:p w:rsidR="00295ECD" w:rsidRDefault="00295ECD" w:rsidP="002456FF">
      <w:pPr>
        <w:spacing w:after="0" w:line="30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Относительно высокая финансово-экономическая устойчивость ОПК, металлургии, нефтегазового машиностроения, автомобилестроения объясняется </w:t>
      </w:r>
      <w:r w:rsidR="003A4D43">
        <w:rPr>
          <w:rFonts w:ascii="Times New Roman CYR" w:hAnsi="Times New Roman CYR" w:cs="Times New Roman CYR"/>
          <w:sz w:val="28"/>
          <w:szCs w:val="28"/>
        </w:rPr>
        <w:t xml:space="preserve">значительными барьерами для входа в отрасли, </w:t>
      </w:r>
      <w:r w:rsidR="00485F01">
        <w:rPr>
          <w:rFonts w:ascii="Times New Roman CYR" w:hAnsi="Times New Roman CYR" w:cs="Times New Roman CYR"/>
          <w:sz w:val="28"/>
          <w:szCs w:val="28"/>
        </w:rPr>
        <w:t xml:space="preserve">сложностью выполняемых проектов, </w:t>
      </w:r>
      <w:r w:rsidR="003A4D43">
        <w:rPr>
          <w:rFonts w:ascii="Times New Roman CYR" w:hAnsi="Times New Roman CYR" w:cs="Times New Roman CYR"/>
          <w:sz w:val="28"/>
          <w:szCs w:val="28"/>
        </w:rPr>
        <w:t>минимальной вероятностью появления новых конкурентов, господдержкой</w:t>
      </w:r>
      <w:r w:rsidR="003A4D43">
        <w:rPr>
          <w:rStyle w:val="aa"/>
          <w:rFonts w:ascii="Times New Roman CYR" w:hAnsi="Times New Roman CYR" w:cs="Times New Roman CYR"/>
          <w:sz w:val="28"/>
          <w:szCs w:val="28"/>
        </w:rPr>
        <w:footnoteReference w:id="39"/>
      </w:r>
      <w:r w:rsidR="003A4D43">
        <w:rPr>
          <w:rFonts w:ascii="Times New Roman CYR" w:hAnsi="Times New Roman CYR" w:cs="Times New Roman CYR"/>
          <w:sz w:val="28"/>
          <w:szCs w:val="28"/>
        </w:rPr>
        <w:t>.</w:t>
      </w:r>
      <w:r w:rsidR="006A3E1E">
        <w:rPr>
          <w:rFonts w:ascii="Times New Roman CYR" w:hAnsi="Times New Roman CYR" w:cs="Times New Roman CYR"/>
          <w:sz w:val="28"/>
          <w:szCs w:val="28"/>
        </w:rPr>
        <w:t xml:space="preserve"> При этом основными факторами бизнес-профилей для предприятий ОПК и машиностроения являются стабильность (волатильность) выручки и контрактной базы, зависимость от субподряда</w:t>
      </w:r>
      <w:r w:rsidR="006A3E1E">
        <w:rPr>
          <w:rStyle w:val="aa"/>
          <w:rFonts w:ascii="Times New Roman CYR" w:hAnsi="Times New Roman CYR" w:cs="Times New Roman CYR"/>
          <w:sz w:val="28"/>
          <w:szCs w:val="28"/>
        </w:rPr>
        <w:footnoteReference w:id="40"/>
      </w:r>
      <w:r w:rsidR="006A3E1E">
        <w:rPr>
          <w:rFonts w:ascii="Times New Roman CYR" w:hAnsi="Times New Roman CYR" w:cs="Times New Roman CYR"/>
          <w:sz w:val="28"/>
          <w:szCs w:val="28"/>
        </w:rPr>
        <w:t>.</w:t>
      </w:r>
    </w:p>
    <w:p w:rsidR="0033719C" w:rsidRDefault="0033719C"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международными и российскими рейтинговыми агентствами разработаны методологии оценки финансовой </w:t>
      </w:r>
      <w:r>
        <w:rPr>
          <w:rFonts w:ascii="Times New Roman" w:hAnsi="Times New Roman" w:cs="Times New Roman"/>
          <w:sz w:val="28"/>
          <w:szCs w:val="28"/>
        </w:rPr>
        <w:lastRenderedPageBreak/>
        <w:t xml:space="preserve">устойчивости и кредитоспособности организаций большинства отраслей экономики, что позволяет более детально оценивать и сравнивать их. </w:t>
      </w:r>
    </w:p>
    <w:p w:rsidR="003464FE" w:rsidRDefault="00C31B58" w:rsidP="002456FF">
      <w:pPr>
        <w:spacing w:after="0" w:line="300" w:lineRule="auto"/>
        <w:ind w:firstLine="709"/>
        <w:jc w:val="both"/>
        <w:rPr>
          <w:rFonts w:ascii="Times New Roman" w:hAnsi="Times New Roman" w:cs="Times New Roman"/>
          <w:sz w:val="28"/>
          <w:szCs w:val="28"/>
        </w:rPr>
      </w:pPr>
      <w:r w:rsidRPr="00C31B58">
        <w:rPr>
          <w:rFonts w:ascii="Times New Roman" w:hAnsi="Times New Roman" w:cs="Times New Roman"/>
          <w:sz w:val="28"/>
          <w:szCs w:val="28"/>
        </w:rPr>
        <w:t xml:space="preserve">Так, агентством </w:t>
      </w:r>
      <w:proofErr w:type="spellStart"/>
      <w:r w:rsidRPr="00C31B58">
        <w:rPr>
          <w:rFonts w:ascii="Times New Roman" w:hAnsi="Times New Roman" w:cs="Times New Roman"/>
          <w:sz w:val="28"/>
          <w:szCs w:val="28"/>
          <w:lang w:val="en-US"/>
        </w:rPr>
        <w:t>Moodys</w:t>
      </w:r>
      <w:proofErr w:type="spellEnd"/>
      <w:r w:rsidRPr="00C31B58">
        <w:rPr>
          <w:rFonts w:ascii="Times New Roman" w:hAnsi="Times New Roman" w:cs="Times New Roman"/>
          <w:sz w:val="28"/>
          <w:szCs w:val="28"/>
        </w:rPr>
        <w:t xml:space="preserve"> </w:t>
      </w:r>
      <w:r w:rsidRPr="00C31B58">
        <w:rPr>
          <w:rFonts w:ascii="Times New Roman" w:hAnsi="Times New Roman" w:cs="Times New Roman"/>
          <w:sz w:val="28"/>
          <w:szCs w:val="28"/>
          <w:lang w:val="en-US"/>
        </w:rPr>
        <w:t>Investors</w:t>
      </w:r>
      <w:r w:rsidRPr="00C31B58">
        <w:rPr>
          <w:rFonts w:ascii="Times New Roman" w:hAnsi="Times New Roman" w:cs="Times New Roman"/>
          <w:sz w:val="28"/>
          <w:szCs w:val="28"/>
        </w:rPr>
        <w:t xml:space="preserve"> </w:t>
      </w:r>
      <w:r w:rsidRPr="00C31B58">
        <w:rPr>
          <w:rFonts w:ascii="Times New Roman" w:hAnsi="Times New Roman" w:cs="Times New Roman"/>
          <w:sz w:val="28"/>
          <w:szCs w:val="28"/>
          <w:lang w:val="en-US"/>
        </w:rPr>
        <w:t>Service</w:t>
      </w:r>
      <w:r w:rsidRPr="00C31B58">
        <w:rPr>
          <w:rFonts w:ascii="Times New Roman" w:hAnsi="Times New Roman" w:cs="Times New Roman"/>
          <w:sz w:val="28"/>
          <w:szCs w:val="28"/>
        </w:rPr>
        <w:t xml:space="preserve"> разработаны и внедрены методологии оценки организаций аэрокосмической и оборонной промышленности, промышленности гражданского назначения, организаций нефтегазового сектора, металлургии, химической промышленности, судостроения, машиностроения, </w:t>
      </w:r>
      <w:r w:rsidR="00F4079B">
        <w:rPr>
          <w:rFonts w:ascii="Times New Roman" w:hAnsi="Times New Roman" w:cs="Times New Roman"/>
          <w:sz w:val="28"/>
          <w:szCs w:val="28"/>
        </w:rPr>
        <w:t xml:space="preserve">производства полупроводников, </w:t>
      </w:r>
      <w:r w:rsidRPr="00C31B58">
        <w:rPr>
          <w:rFonts w:ascii="Times New Roman" w:hAnsi="Times New Roman" w:cs="Times New Roman"/>
          <w:sz w:val="28"/>
          <w:szCs w:val="28"/>
        </w:rPr>
        <w:t xml:space="preserve">лесопромышленного комплекса, транспорта, сельского хозяйства, угледобычи, ТЭК, телекоммуникаций, фармацевтической промышленности, ритейла, ресторанного бизнеса, СМИ, розничной торговли, страхования, недвижимости и др. </w:t>
      </w:r>
      <w:r w:rsidR="003464FE">
        <w:rPr>
          <w:rFonts w:ascii="Times New Roman" w:hAnsi="Times New Roman" w:cs="Times New Roman"/>
          <w:sz w:val="28"/>
          <w:szCs w:val="28"/>
        </w:rPr>
        <w:t xml:space="preserve">В </w:t>
      </w:r>
      <w:r w:rsidR="003464FE">
        <w:rPr>
          <w:rFonts w:ascii="Times New Roman" w:hAnsi="Times New Roman" w:cs="Times New Roman"/>
          <w:sz w:val="28"/>
          <w:szCs w:val="28"/>
          <w:lang w:val="en-US"/>
        </w:rPr>
        <w:t>Standard</w:t>
      </w:r>
      <w:r w:rsidR="003464FE" w:rsidRPr="00FB752F">
        <w:rPr>
          <w:rFonts w:ascii="Times New Roman" w:hAnsi="Times New Roman" w:cs="Times New Roman"/>
          <w:sz w:val="28"/>
          <w:szCs w:val="28"/>
        </w:rPr>
        <w:t xml:space="preserve"> &amp;</w:t>
      </w:r>
      <w:proofErr w:type="spellStart"/>
      <w:r w:rsidR="003464FE">
        <w:rPr>
          <w:rFonts w:ascii="Times New Roman" w:hAnsi="Times New Roman" w:cs="Times New Roman"/>
          <w:sz w:val="28"/>
          <w:szCs w:val="28"/>
          <w:lang w:val="en-US"/>
        </w:rPr>
        <w:t>Poors</w:t>
      </w:r>
      <w:proofErr w:type="spellEnd"/>
      <w:r w:rsidR="003464FE">
        <w:rPr>
          <w:rFonts w:ascii="Times New Roman" w:hAnsi="Times New Roman" w:cs="Times New Roman"/>
          <w:sz w:val="28"/>
          <w:szCs w:val="28"/>
        </w:rPr>
        <w:t xml:space="preserve"> проводится оценка кредитоспособности и финансовой устойчивости </w:t>
      </w:r>
      <w:r w:rsidR="003464FE" w:rsidRPr="00C31B58">
        <w:rPr>
          <w:rFonts w:ascii="Times New Roman" w:hAnsi="Times New Roman" w:cs="Times New Roman"/>
          <w:sz w:val="28"/>
          <w:szCs w:val="28"/>
        </w:rPr>
        <w:t>организаций аэрокосмической и оборонной промышленности</w:t>
      </w:r>
      <w:r w:rsidR="003464FE">
        <w:rPr>
          <w:rFonts w:ascii="Times New Roman" w:hAnsi="Times New Roman" w:cs="Times New Roman"/>
          <w:sz w:val="28"/>
          <w:szCs w:val="28"/>
        </w:rPr>
        <w:t xml:space="preserve">, автомобилестроения, железнодорожного транспорта, авиакомпаний, сетевых компаний, банков, лизинговых компаний, сельскохозяйственных кооперативов, инвестиционных холдинговых компаний, страхования, недвижимости, ресторанного бизнеса, </w:t>
      </w:r>
      <w:proofErr w:type="spellStart"/>
      <w:r w:rsidR="003464FE">
        <w:rPr>
          <w:rFonts w:ascii="Times New Roman" w:hAnsi="Times New Roman" w:cs="Times New Roman"/>
          <w:sz w:val="28"/>
          <w:szCs w:val="28"/>
        </w:rPr>
        <w:t>ритейла</w:t>
      </w:r>
      <w:proofErr w:type="spellEnd"/>
      <w:r w:rsidR="003464FE">
        <w:rPr>
          <w:rFonts w:ascii="Times New Roman" w:hAnsi="Times New Roman" w:cs="Times New Roman"/>
          <w:sz w:val="28"/>
          <w:szCs w:val="28"/>
        </w:rPr>
        <w:t xml:space="preserve"> и др.</w:t>
      </w:r>
    </w:p>
    <w:p w:rsidR="006B63E1" w:rsidRDefault="006B63E1" w:rsidP="002456FF">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Российскими рейтинговыми агентствами также осуществляется оценка кредитоспособности и финансовой устойчивости применительно к  конкретным институтам (банки и банковские группы, международные кредитные организации, организации проектного финансирования, страховые и лизинговые компании, </w:t>
      </w:r>
      <w:proofErr w:type="spellStart"/>
      <w:r>
        <w:rPr>
          <w:rFonts w:ascii="Times New Roman" w:hAnsi="Times New Roman" w:cs="Times New Roman"/>
          <w:sz w:val="28"/>
          <w:szCs w:val="28"/>
        </w:rPr>
        <w:t>микрофинансовые</w:t>
      </w:r>
      <w:proofErr w:type="spellEnd"/>
      <w:r>
        <w:rPr>
          <w:rFonts w:ascii="Times New Roman" w:hAnsi="Times New Roman" w:cs="Times New Roman"/>
          <w:sz w:val="28"/>
          <w:szCs w:val="28"/>
        </w:rPr>
        <w:t xml:space="preserve"> институты, управляющие компании и др.) и в разрезе </w:t>
      </w:r>
      <w:r w:rsidR="00885E8D">
        <w:rPr>
          <w:rFonts w:ascii="Times New Roman" w:hAnsi="Times New Roman" w:cs="Times New Roman"/>
          <w:sz w:val="28"/>
          <w:szCs w:val="28"/>
        </w:rPr>
        <w:t xml:space="preserve">большинства </w:t>
      </w:r>
      <w:r>
        <w:rPr>
          <w:rFonts w:ascii="Times New Roman" w:hAnsi="Times New Roman" w:cs="Times New Roman"/>
          <w:sz w:val="28"/>
          <w:szCs w:val="28"/>
        </w:rPr>
        <w:t>отраслей экономики</w:t>
      </w:r>
      <w:r>
        <w:rPr>
          <w:rStyle w:val="aa"/>
          <w:rFonts w:ascii="Times New Roman" w:hAnsi="Times New Roman" w:cs="Times New Roman"/>
          <w:sz w:val="28"/>
          <w:szCs w:val="28"/>
        </w:rPr>
        <w:footnoteReference w:id="41"/>
      </w:r>
      <w:r>
        <w:rPr>
          <w:rFonts w:ascii="Times New Roman" w:hAnsi="Times New Roman" w:cs="Times New Roman"/>
          <w:sz w:val="28"/>
          <w:szCs w:val="28"/>
        </w:rPr>
        <w:t xml:space="preserve">. </w:t>
      </w:r>
    </w:p>
    <w:p w:rsidR="00A77059" w:rsidRDefault="00A77059" w:rsidP="008E787A">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сравнительный анализ финансово-экономических показателей </w:t>
      </w:r>
      <w:r w:rsidR="00643F3E">
        <w:rPr>
          <w:rFonts w:ascii="Times New Roman" w:hAnsi="Times New Roman" w:cs="Times New Roman"/>
          <w:sz w:val="28"/>
          <w:szCs w:val="28"/>
        </w:rPr>
        <w:t xml:space="preserve">оценки кредитоспособности и финансово-экономической устойчивости, используемых </w:t>
      </w:r>
      <w:r>
        <w:rPr>
          <w:rFonts w:ascii="Times New Roman" w:hAnsi="Times New Roman" w:cs="Times New Roman"/>
          <w:sz w:val="28"/>
          <w:szCs w:val="28"/>
        </w:rPr>
        <w:t>международны</w:t>
      </w:r>
      <w:r w:rsidR="00643F3E">
        <w:rPr>
          <w:rFonts w:ascii="Times New Roman" w:hAnsi="Times New Roman" w:cs="Times New Roman"/>
          <w:sz w:val="28"/>
          <w:szCs w:val="28"/>
        </w:rPr>
        <w:t>ми</w:t>
      </w:r>
      <w:r>
        <w:rPr>
          <w:rFonts w:ascii="Times New Roman" w:hAnsi="Times New Roman" w:cs="Times New Roman"/>
          <w:sz w:val="28"/>
          <w:szCs w:val="28"/>
        </w:rPr>
        <w:t xml:space="preserve"> и национальны</w:t>
      </w:r>
      <w:r w:rsidR="00643F3E">
        <w:rPr>
          <w:rFonts w:ascii="Times New Roman" w:hAnsi="Times New Roman" w:cs="Times New Roman"/>
          <w:sz w:val="28"/>
          <w:szCs w:val="28"/>
        </w:rPr>
        <w:t>ми</w:t>
      </w:r>
      <w:r>
        <w:rPr>
          <w:rFonts w:ascii="Times New Roman" w:hAnsi="Times New Roman" w:cs="Times New Roman"/>
          <w:sz w:val="28"/>
          <w:szCs w:val="28"/>
        </w:rPr>
        <w:t xml:space="preserve"> рейтинговы</w:t>
      </w:r>
      <w:r w:rsidR="00643F3E">
        <w:rPr>
          <w:rFonts w:ascii="Times New Roman" w:hAnsi="Times New Roman" w:cs="Times New Roman"/>
          <w:sz w:val="28"/>
          <w:szCs w:val="28"/>
        </w:rPr>
        <w:t>ми</w:t>
      </w:r>
      <w:r>
        <w:rPr>
          <w:rFonts w:ascii="Times New Roman" w:hAnsi="Times New Roman" w:cs="Times New Roman"/>
          <w:sz w:val="28"/>
          <w:szCs w:val="28"/>
        </w:rPr>
        <w:t xml:space="preserve"> агентств</w:t>
      </w:r>
      <w:r w:rsidR="00643F3E">
        <w:rPr>
          <w:rFonts w:ascii="Times New Roman" w:hAnsi="Times New Roman" w:cs="Times New Roman"/>
          <w:sz w:val="28"/>
          <w:szCs w:val="28"/>
        </w:rPr>
        <w:t>ами,</w:t>
      </w:r>
      <w:r>
        <w:rPr>
          <w:rFonts w:ascii="Times New Roman" w:hAnsi="Times New Roman" w:cs="Times New Roman"/>
          <w:sz w:val="28"/>
          <w:szCs w:val="28"/>
        </w:rPr>
        <w:t xml:space="preserve"> показал:</w:t>
      </w:r>
    </w:p>
    <w:p w:rsidR="00A77059" w:rsidRDefault="00A77059" w:rsidP="008E787A">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единство методологических подходов </w:t>
      </w:r>
      <w:r w:rsidR="00304E52">
        <w:rPr>
          <w:rFonts w:ascii="Times New Roman" w:hAnsi="Times New Roman" w:cs="Times New Roman"/>
          <w:sz w:val="28"/>
          <w:szCs w:val="28"/>
        </w:rPr>
        <w:t xml:space="preserve">ведущих </w:t>
      </w:r>
      <w:r w:rsidR="00E34748">
        <w:rPr>
          <w:rFonts w:ascii="Times New Roman" w:hAnsi="Times New Roman" w:cs="Times New Roman"/>
          <w:sz w:val="28"/>
          <w:szCs w:val="28"/>
        </w:rPr>
        <w:t>международных рейтинговых аген</w:t>
      </w:r>
      <w:proofErr w:type="gramStart"/>
      <w:r w:rsidR="00E34748">
        <w:rPr>
          <w:rFonts w:ascii="Times New Roman" w:hAnsi="Times New Roman" w:cs="Times New Roman"/>
          <w:sz w:val="28"/>
          <w:szCs w:val="28"/>
        </w:rPr>
        <w:t xml:space="preserve">тств </w:t>
      </w:r>
      <w:r>
        <w:rPr>
          <w:rFonts w:ascii="Times New Roman" w:hAnsi="Times New Roman" w:cs="Times New Roman"/>
          <w:sz w:val="28"/>
          <w:szCs w:val="28"/>
        </w:rPr>
        <w:t>в ч</w:t>
      </w:r>
      <w:proofErr w:type="gramEnd"/>
      <w:r>
        <w:rPr>
          <w:rFonts w:ascii="Times New Roman" w:hAnsi="Times New Roman" w:cs="Times New Roman"/>
          <w:sz w:val="28"/>
          <w:szCs w:val="28"/>
        </w:rPr>
        <w:t>асти определения уровня долговой нагрузки</w:t>
      </w:r>
      <w:r w:rsidR="00DD123E">
        <w:rPr>
          <w:rFonts w:ascii="Times New Roman" w:hAnsi="Times New Roman" w:cs="Times New Roman"/>
          <w:sz w:val="28"/>
          <w:szCs w:val="28"/>
        </w:rPr>
        <w:t xml:space="preserve"> организаций</w:t>
      </w:r>
      <w:r>
        <w:rPr>
          <w:rFonts w:ascii="Times New Roman" w:hAnsi="Times New Roman" w:cs="Times New Roman"/>
          <w:sz w:val="28"/>
          <w:szCs w:val="28"/>
        </w:rPr>
        <w:t>;</w:t>
      </w:r>
    </w:p>
    <w:p w:rsidR="00A77059" w:rsidRDefault="00A77059" w:rsidP="008E787A">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частичное совпадение показателей долговой нагрузки, используемых при проведении мониторинга финансово-экономического состояния системообразующих организаций</w:t>
      </w:r>
      <w:r w:rsidR="00E34748">
        <w:rPr>
          <w:rFonts w:ascii="Times New Roman" w:hAnsi="Times New Roman" w:cs="Times New Roman"/>
          <w:sz w:val="28"/>
          <w:szCs w:val="28"/>
        </w:rPr>
        <w:t xml:space="preserve"> (в том числе имеющих стратегическое значение)</w:t>
      </w:r>
      <w:r>
        <w:rPr>
          <w:rFonts w:ascii="Times New Roman" w:hAnsi="Times New Roman" w:cs="Times New Roman"/>
          <w:sz w:val="28"/>
          <w:szCs w:val="28"/>
        </w:rPr>
        <w:t xml:space="preserve"> и критериев международных рейтинговых агентств;</w:t>
      </w:r>
    </w:p>
    <w:p w:rsidR="00304E52" w:rsidRDefault="00304E52" w:rsidP="008E787A">
      <w:pPr>
        <w:spacing w:after="0" w:line="300" w:lineRule="auto"/>
        <w:ind w:firstLine="709"/>
        <w:jc w:val="both"/>
        <w:rPr>
          <w:rFonts w:ascii="Times New Roman" w:hAnsi="Times New Roman" w:cs="Times New Roman"/>
          <w:sz w:val="28"/>
        </w:rPr>
      </w:pPr>
      <w:r>
        <w:rPr>
          <w:rFonts w:ascii="Times New Roman" w:hAnsi="Times New Roman" w:cs="Times New Roman"/>
          <w:sz w:val="28"/>
        </w:rPr>
        <w:t xml:space="preserve">необходимость унификации международных и российских финансово-экономических показателей бухгалтерской отчетности по МСФО и РСБУ, что позволит экономить ресурсы на трансформацию пользователями национальных правил учета, </w:t>
      </w:r>
      <w:r w:rsidR="007F385F">
        <w:rPr>
          <w:rFonts w:ascii="Times New Roman" w:hAnsi="Times New Roman" w:cs="Times New Roman"/>
          <w:sz w:val="28"/>
        </w:rPr>
        <w:t xml:space="preserve">более полно </w:t>
      </w:r>
      <w:r>
        <w:rPr>
          <w:rFonts w:ascii="Times New Roman" w:hAnsi="Times New Roman" w:cs="Times New Roman"/>
          <w:sz w:val="28"/>
        </w:rPr>
        <w:t>оцени</w:t>
      </w:r>
      <w:r w:rsidR="007F385F">
        <w:rPr>
          <w:rFonts w:ascii="Times New Roman" w:hAnsi="Times New Roman" w:cs="Times New Roman"/>
          <w:sz w:val="28"/>
        </w:rPr>
        <w:t>вать</w:t>
      </w:r>
      <w:r>
        <w:rPr>
          <w:rFonts w:ascii="Times New Roman" w:hAnsi="Times New Roman" w:cs="Times New Roman"/>
          <w:sz w:val="28"/>
        </w:rPr>
        <w:t xml:space="preserve"> реальное финансово-экономическое положение организаций, их кредитоспособность, </w:t>
      </w:r>
      <w:r w:rsidR="007F385F">
        <w:rPr>
          <w:rFonts w:ascii="Times New Roman" w:hAnsi="Times New Roman" w:cs="Times New Roman"/>
          <w:sz w:val="28"/>
        </w:rPr>
        <w:t xml:space="preserve">обеспечит </w:t>
      </w:r>
      <w:r>
        <w:rPr>
          <w:rFonts w:ascii="Times New Roman" w:hAnsi="Times New Roman" w:cs="Times New Roman"/>
          <w:sz w:val="28"/>
        </w:rPr>
        <w:t>дополнительн</w:t>
      </w:r>
      <w:r w:rsidR="007F385F">
        <w:rPr>
          <w:rFonts w:ascii="Times New Roman" w:hAnsi="Times New Roman" w:cs="Times New Roman"/>
          <w:sz w:val="28"/>
        </w:rPr>
        <w:t xml:space="preserve">ую </w:t>
      </w:r>
      <w:r>
        <w:rPr>
          <w:rFonts w:ascii="Times New Roman" w:hAnsi="Times New Roman" w:cs="Times New Roman"/>
          <w:sz w:val="28"/>
        </w:rPr>
        <w:t xml:space="preserve"> </w:t>
      </w:r>
      <w:r w:rsidR="007F385F">
        <w:rPr>
          <w:rFonts w:ascii="Times New Roman" w:hAnsi="Times New Roman" w:cs="Times New Roman"/>
          <w:sz w:val="28"/>
        </w:rPr>
        <w:t>инвестиционную привлекательность системообразующих организаций и стратегических обществ;</w:t>
      </w:r>
    </w:p>
    <w:p w:rsidR="00D95C5E" w:rsidRPr="008001B0" w:rsidRDefault="00D95C5E" w:rsidP="008E787A">
      <w:pPr>
        <w:spacing w:after="0" w:line="300" w:lineRule="auto"/>
        <w:ind w:firstLine="709"/>
        <w:jc w:val="both"/>
        <w:rPr>
          <w:rFonts w:ascii="Times New Roman" w:hAnsi="Times New Roman" w:cs="Times New Roman"/>
          <w:sz w:val="28"/>
        </w:rPr>
      </w:pPr>
      <w:r>
        <w:rPr>
          <w:rFonts w:ascii="Times New Roman" w:hAnsi="Times New Roman" w:cs="Times New Roman"/>
          <w:sz w:val="28"/>
        </w:rPr>
        <w:t>преобладание количественных критериев в структуре показателей;</w:t>
      </w:r>
    </w:p>
    <w:p w:rsidR="00A77059" w:rsidRDefault="006B74D3" w:rsidP="008E787A">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w:t>
      </w:r>
      <w:r w:rsidR="00A77059">
        <w:rPr>
          <w:rFonts w:ascii="Times New Roman" w:hAnsi="Times New Roman" w:cs="Times New Roman"/>
          <w:sz w:val="28"/>
          <w:szCs w:val="28"/>
        </w:rPr>
        <w:t>учет</w:t>
      </w:r>
      <w:r>
        <w:rPr>
          <w:rFonts w:ascii="Times New Roman" w:hAnsi="Times New Roman" w:cs="Times New Roman"/>
          <w:sz w:val="28"/>
          <w:szCs w:val="28"/>
        </w:rPr>
        <w:t>а</w:t>
      </w:r>
      <w:r w:rsidR="00A77059">
        <w:rPr>
          <w:rFonts w:ascii="Times New Roman" w:hAnsi="Times New Roman" w:cs="Times New Roman"/>
          <w:sz w:val="28"/>
          <w:szCs w:val="28"/>
        </w:rPr>
        <w:t xml:space="preserve"> отраслевой и секторальной специфики оценки финансовой устойчивости и кредитоспособности организаций.</w:t>
      </w:r>
    </w:p>
    <w:p w:rsidR="00721512" w:rsidRDefault="00721512" w:rsidP="00721512">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Включение в </w:t>
      </w:r>
      <w:r>
        <w:rPr>
          <w:rFonts w:ascii="Times New Roman" w:hAnsi="Times New Roman" w:cs="Times New Roman"/>
          <w:sz w:val="28"/>
        </w:rPr>
        <w:t xml:space="preserve">показатели мониторинга финансово-экономического состояния и показатели стресс-теста элементов </w:t>
      </w:r>
      <w:r>
        <w:rPr>
          <w:rFonts w:ascii="Times New Roman" w:hAnsi="Times New Roman" w:cs="Times New Roman"/>
          <w:sz w:val="28"/>
          <w:szCs w:val="28"/>
        </w:rPr>
        <w:t>отраслевых риск-профилей позволило бы учитывать специфику операционного цикла, тенденции и перспективы развития отрасли, степень подверженности рискам и др. отраслевые особенности.</w:t>
      </w:r>
    </w:p>
    <w:p w:rsidR="00721512" w:rsidRPr="00C31B58" w:rsidRDefault="00721512" w:rsidP="00721512">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Важными индикаторами устойчивости и предсказуемости финансового состояния являются структура собственности, стресс-факторы, качество управления и риск-менеджмента организаций. </w:t>
      </w:r>
      <w:r w:rsidR="00E44A72">
        <w:rPr>
          <w:rFonts w:ascii="Times New Roman" w:hAnsi="Times New Roman" w:cs="Times New Roman"/>
          <w:sz w:val="28"/>
          <w:szCs w:val="28"/>
        </w:rPr>
        <w:t>Дополнение национальных оценочных методик мониторинга системообразующих организаций</w:t>
      </w:r>
      <w:r>
        <w:rPr>
          <w:rFonts w:ascii="Times New Roman" w:hAnsi="Times New Roman" w:cs="Times New Roman"/>
          <w:sz w:val="28"/>
          <w:szCs w:val="28"/>
        </w:rPr>
        <w:t xml:space="preserve"> </w:t>
      </w:r>
      <w:r w:rsidR="00E44A72">
        <w:rPr>
          <w:rFonts w:ascii="Times New Roman" w:hAnsi="Times New Roman" w:cs="Times New Roman"/>
          <w:sz w:val="28"/>
          <w:szCs w:val="28"/>
        </w:rPr>
        <w:t xml:space="preserve">и стратегических обществ данными показателями будет способствовать формированию более полной </w:t>
      </w:r>
      <w:r w:rsidR="00C25240">
        <w:rPr>
          <w:rFonts w:ascii="Times New Roman" w:hAnsi="Times New Roman" w:cs="Times New Roman"/>
          <w:sz w:val="28"/>
          <w:szCs w:val="28"/>
        </w:rPr>
        <w:t>и достоверной картины корпоративных рисков, позволит собственникам, акционерам, инвесторам и представителям контрольно-надзорных органов принимать своевременные и адекватные управленческие решения.</w:t>
      </w:r>
    </w:p>
    <w:p w:rsidR="00C51773" w:rsidRDefault="00C51773" w:rsidP="00B31415">
      <w:pPr>
        <w:spacing w:after="0" w:line="300" w:lineRule="auto"/>
        <w:jc w:val="both"/>
        <w:rPr>
          <w:rFonts w:ascii="Times New Roman" w:hAnsi="Times New Roman" w:cs="Times New Roman"/>
          <w:sz w:val="28"/>
          <w:szCs w:val="28"/>
        </w:rPr>
      </w:pPr>
    </w:p>
    <w:p w:rsidR="00617F72" w:rsidRDefault="00617F72" w:rsidP="00617F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617F72" w:rsidRPr="005A7BE6" w:rsidRDefault="00617F72" w:rsidP="005A7BE6">
      <w:pPr>
        <w:pStyle w:val="a3"/>
        <w:numPr>
          <w:ilvl w:val="0"/>
          <w:numId w:val="2"/>
        </w:numPr>
        <w:spacing w:after="0" w:line="240" w:lineRule="auto"/>
        <w:ind w:left="1066" w:hanging="357"/>
        <w:jc w:val="both"/>
        <w:rPr>
          <w:rFonts w:ascii="Times New Roman" w:hAnsi="Times New Roman" w:cs="Times New Roman"/>
          <w:sz w:val="24"/>
          <w:szCs w:val="24"/>
          <w:lang w:val="en-US"/>
        </w:rPr>
      </w:pPr>
      <w:r w:rsidRPr="005A7BE6">
        <w:rPr>
          <w:rFonts w:ascii="Times New Roman" w:hAnsi="Times New Roman" w:cs="Times New Roman"/>
          <w:i/>
          <w:sz w:val="24"/>
          <w:szCs w:val="24"/>
          <w:lang w:val="en-US"/>
        </w:rPr>
        <w:t xml:space="preserve">Magdalena </w:t>
      </w:r>
      <w:proofErr w:type="spellStart"/>
      <w:r w:rsidRPr="005A7BE6">
        <w:rPr>
          <w:rFonts w:ascii="Times New Roman" w:hAnsi="Times New Roman" w:cs="Times New Roman"/>
          <w:i/>
          <w:sz w:val="24"/>
          <w:szCs w:val="24"/>
          <w:lang w:val="en-US"/>
        </w:rPr>
        <w:t>Ziolo</w:t>
      </w:r>
      <w:proofErr w:type="spellEnd"/>
      <w:r w:rsidRPr="005A7BE6">
        <w:rPr>
          <w:rFonts w:ascii="Times New Roman" w:hAnsi="Times New Roman" w:cs="Times New Roman"/>
          <w:i/>
          <w:sz w:val="24"/>
          <w:szCs w:val="24"/>
          <w:lang w:val="en-US"/>
        </w:rPr>
        <w:t xml:space="preserve">, </w:t>
      </w:r>
      <w:proofErr w:type="spellStart"/>
      <w:r w:rsidRPr="005A7BE6">
        <w:rPr>
          <w:rFonts w:ascii="Times New Roman" w:hAnsi="Times New Roman" w:cs="Times New Roman"/>
          <w:i/>
          <w:sz w:val="24"/>
          <w:szCs w:val="24"/>
          <w:lang w:val="en-US"/>
        </w:rPr>
        <w:t>Beata</w:t>
      </w:r>
      <w:proofErr w:type="spellEnd"/>
      <w:r w:rsidRPr="005A7BE6">
        <w:rPr>
          <w:rFonts w:ascii="Times New Roman" w:hAnsi="Times New Roman" w:cs="Times New Roman"/>
          <w:i/>
          <w:sz w:val="24"/>
          <w:szCs w:val="24"/>
          <w:lang w:val="en-US"/>
        </w:rPr>
        <w:t xml:space="preserve"> </w:t>
      </w:r>
      <w:proofErr w:type="spellStart"/>
      <w:r w:rsidRPr="005A7BE6">
        <w:rPr>
          <w:rFonts w:ascii="Times New Roman" w:hAnsi="Times New Roman" w:cs="Times New Roman"/>
          <w:i/>
          <w:sz w:val="24"/>
          <w:szCs w:val="24"/>
          <w:lang w:val="en-US"/>
        </w:rPr>
        <w:t>Filipiak</w:t>
      </w:r>
      <w:proofErr w:type="spellEnd"/>
      <w:r w:rsidRPr="005A7BE6">
        <w:rPr>
          <w:rFonts w:ascii="Times New Roman" w:hAnsi="Times New Roman" w:cs="Times New Roman"/>
          <w:i/>
          <w:sz w:val="24"/>
          <w:szCs w:val="24"/>
          <w:lang w:val="en-US"/>
        </w:rPr>
        <w:t xml:space="preserve">, </w:t>
      </w:r>
      <w:proofErr w:type="spellStart"/>
      <w:r w:rsidRPr="005A7BE6">
        <w:rPr>
          <w:rFonts w:ascii="Times New Roman" w:hAnsi="Times New Roman" w:cs="Times New Roman"/>
          <w:i/>
          <w:sz w:val="24"/>
          <w:szCs w:val="24"/>
          <w:lang w:val="en-US"/>
        </w:rPr>
        <w:t>Iwona</w:t>
      </w:r>
      <w:proofErr w:type="spellEnd"/>
      <w:r w:rsidRPr="005A7BE6">
        <w:rPr>
          <w:rFonts w:ascii="Times New Roman" w:hAnsi="Times New Roman" w:cs="Times New Roman"/>
          <w:i/>
          <w:sz w:val="24"/>
          <w:szCs w:val="24"/>
          <w:lang w:val="en-US"/>
        </w:rPr>
        <w:t xml:space="preserve"> </w:t>
      </w:r>
      <w:proofErr w:type="spellStart"/>
      <w:r w:rsidRPr="005A7BE6">
        <w:rPr>
          <w:rFonts w:ascii="Times New Roman" w:hAnsi="Times New Roman" w:cs="Times New Roman"/>
          <w:i/>
          <w:sz w:val="24"/>
          <w:szCs w:val="24"/>
          <w:lang w:val="en-US"/>
        </w:rPr>
        <w:t>Bak</w:t>
      </w:r>
      <w:proofErr w:type="spellEnd"/>
      <w:r w:rsidRPr="005A7BE6">
        <w:rPr>
          <w:rFonts w:ascii="Times New Roman" w:hAnsi="Times New Roman" w:cs="Times New Roman"/>
          <w:i/>
          <w:sz w:val="24"/>
          <w:szCs w:val="24"/>
          <w:lang w:val="en-US"/>
        </w:rPr>
        <w:t xml:space="preserve">, </w:t>
      </w:r>
      <w:proofErr w:type="spellStart"/>
      <w:r w:rsidRPr="005A7BE6">
        <w:rPr>
          <w:rFonts w:ascii="Times New Roman" w:hAnsi="Times New Roman" w:cs="Times New Roman"/>
          <w:i/>
          <w:sz w:val="24"/>
          <w:szCs w:val="24"/>
          <w:lang w:val="en-US"/>
        </w:rPr>
        <w:t>Katarzyna</w:t>
      </w:r>
      <w:proofErr w:type="spellEnd"/>
      <w:r w:rsidRPr="005A7BE6">
        <w:rPr>
          <w:rFonts w:ascii="Times New Roman" w:hAnsi="Times New Roman" w:cs="Times New Roman"/>
          <w:i/>
          <w:sz w:val="24"/>
          <w:szCs w:val="24"/>
          <w:lang w:val="en-US"/>
        </w:rPr>
        <w:t xml:space="preserve"> </w:t>
      </w:r>
      <w:proofErr w:type="spellStart"/>
      <w:r w:rsidRPr="005A7BE6">
        <w:rPr>
          <w:rFonts w:ascii="Times New Roman" w:hAnsi="Times New Roman" w:cs="Times New Roman"/>
          <w:i/>
          <w:sz w:val="24"/>
          <w:szCs w:val="24"/>
          <w:lang w:val="en-US"/>
        </w:rPr>
        <w:t>Cheba</w:t>
      </w:r>
      <w:proofErr w:type="spellEnd"/>
      <w:r w:rsidRPr="005A7BE6">
        <w:rPr>
          <w:rFonts w:ascii="Times New Roman" w:hAnsi="Times New Roman" w:cs="Times New Roman"/>
          <w:sz w:val="24"/>
          <w:szCs w:val="24"/>
          <w:lang w:val="en-US"/>
        </w:rPr>
        <w:t xml:space="preserve">. How to Design More Sustainable Financial Systems: The Roles of Environmental, Social and Governance Factors in the Decision-Making Process / </w:t>
      </w:r>
      <w:hyperlink r:id="rId8" w:history="1">
        <w:r w:rsidRPr="005A7BE6">
          <w:rPr>
            <w:rStyle w:val="af0"/>
            <w:rFonts w:ascii="Times New Roman" w:hAnsi="Times New Roman" w:cs="Times New Roman"/>
            <w:sz w:val="24"/>
            <w:szCs w:val="24"/>
            <w:lang w:val="en-US"/>
          </w:rPr>
          <w:t>www.mdpi.com/2071-1050/11/20/5604/htm</w:t>
        </w:r>
      </w:hyperlink>
    </w:p>
    <w:p w:rsidR="00617F72" w:rsidRPr="005A7BE6" w:rsidRDefault="00617F72" w:rsidP="005A7BE6">
      <w:pPr>
        <w:pStyle w:val="a3"/>
        <w:numPr>
          <w:ilvl w:val="0"/>
          <w:numId w:val="2"/>
        </w:numPr>
        <w:spacing w:after="0" w:line="240" w:lineRule="auto"/>
        <w:ind w:left="1066" w:hanging="357"/>
        <w:jc w:val="both"/>
        <w:rPr>
          <w:rFonts w:ascii="Times New Roman" w:hAnsi="Times New Roman" w:cs="Times New Roman"/>
          <w:sz w:val="24"/>
          <w:szCs w:val="24"/>
          <w:lang w:val="en-US"/>
        </w:rPr>
      </w:pPr>
      <w:r w:rsidRPr="005A7BE6">
        <w:rPr>
          <w:rFonts w:ascii="Times New Roman" w:hAnsi="Times New Roman" w:cs="Times New Roman"/>
          <w:sz w:val="24"/>
          <w:szCs w:val="24"/>
          <w:lang w:val="en-US"/>
        </w:rPr>
        <w:t xml:space="preserve">Special Issue Methodological Aspects of Solving Sustainability Problems: New Challenges, Algorithms and Application Areas /www.mdpi.com / Journal / Sustainability / </w:t>
      </w:r>
      <w:proofErr w:type="spellStart"/>
      <w:r w:rsidRPr="005A7BE6">
        <w:rPr>
          <w:rFonts w:ascii="Times New Roman" w:hAnsi="Times New Roman" w:cs="Times New Roman"/>
          <w:sz w:val="24"/>
          <w:szCs w:val="24"/>
          <w:lang w:val="en-US"/>
        </w:rPr>
        <w:t>Special_Issues</w:t>
      </w:r>
      <w:proofErr w:type="spellEnd"/>
      <w:r w:rsidRPr="005A7BE6">
        <w:rPr>
          <w:rFonts w:ascii="Times New Roman" w:hAnsi="Times New Roman" w:cs="Times New Roman"/>
          <w:sz w:val="24"/>
          <w:szCs w:val="24"/>
          <w:lang w:val="en-US"/>
        </w:rPr>
        <w:t xml:space="preserve"> / </w:t>
      </w:r>
      <w:proofErr w:type="spellStart"/>
      <w:r w:rsidRPr="005A7BE6">
        <w:rPr>
          <w:rFonts w:ascii="Times New Roman" w:hAnsi="Times New Roman" w:cs="Times New Roman"/>
          <w:sz w:val="24"/>
          <w:szCs w:val="24"/>
          <w:lang w:val="en-US"/>
        </w:rPr>
        <w:t>Solving_Sustainability</w:t>
      </w:r>
      <w:proofErr w:type="spellEnd"/>
      <w:r w:rsidRPr="005A7BE6">
        <w:rPr>
          <w:rFonts w:ascii="Times New Roman" w:hAnsi="Times New Roman" w:cs="Times New Roman"/>
          <w:sz w:val="24"/>
          <w:szCs w:val="24"/>
          <w:lang w:val="en-US"/>
        </w:rPr>
        <w:t>-Problems.</w:t>
      </w:r>
    </w:p>
    <w:p w:rsidR="00617F72" w:rsidRPr="005A7BE6" w:rsidRDefault="00617F72" w:rsidP="005A7BE6">
      <w:pPr>
        <w:pStyle w:val="a3"/>
        <w:numPr>
          <w:ilvl w:val="0"/>
          <w:numId w:val="2"/>
        </w:numPr>
        <w:spacing w:after="0" w:line="240" w:lineRule="auto"/>
        <w:ind w:left="1066" w:hanging="357"/>
        <w:jc w:val="both"/>
        <w:rPr>
          <w:rFonts w:ascii="Times New Roman" w:hAnsi="Times New Roman" w:cs="Times New Roman"/>
          <w:sz w:val="24"/>
          <w:szCs w:val="24"/>
          <w:lang w:val="en-US"/>
        </w:rPr>
      </w:pPr>
      <w:r w:rsidRPr="005A7BE6">
        <w:rPr>
          <w:rFonts w:ascii="Times New Roman" w:hAnsi="Times New Roman" w:cs="Times New Roman"/>
          <w:sz w:val="24"/>
          <w:szCs w:val="24"/>
          <w:lang w:val="en-US"/>
        </w:rPr>
        <w:t xml:space="preserve">Best Practices in Sustainable Finance / cbd.int / financial / </w:t>
      </w:r>
      <w:proofErr w:type="spellStart"/>
      <w:r w:rsidRPr="005A7BE6">
        <w:rPr>
          <w:rFonts w:ascii="Times New Roman" w:hAnsi="Times New Roman" w:cs="Times New Roman"/>
          <w:sz w:val="24"/>
          <w:szCs w:val="24"/>
          <w:lang w:val="en-US"/>
        </w:rPr>
        <w:t>privatesector</w:t>
      </w:r>
      <w:proofErr w:type="spellEnd"/>
      <w:r w:rsidRPr="005A7BE6">
        <w:rPr>
          <w:rFonts w:ascii="Times New Roman" w:hAnsi="Times New Roman" w:cs="Times New Roman"/>
          <w:sz w:val="24"/>
          <w:szCs w:val="24"/>
          <w:lang w:val="en-US"/>
        </w:rPr>
        <w:t xml:space="preserve"> / several-privatebestpractices.pdf.</w:t>
      </w:r>
    </w:p>
    <w:p w:rsidR="00617F72" w:rsidRPr="005A7BE6" w:rsidRDefault="00617F72" w:rsidP="005A7BE6">
      <w:pPr>
        <w:pStyle w:val="a3"/>
        <w:numPr>
          <w:ilvl w:val="0"/>
          <w:numId w:val="2"/>
        </w:numPr>
        <w:spacing w:after="0" w:line="240" w:lineRule="auto"/>
        <w:ind w:left="1066" w:hanging="357"/>
        <w:jc w:val="both"/>
        <w:rPr>
          <w:rFonts w:ascii="Times New Roman" w:hAnsi="Times New Roman" w:cs="Times New Roman"/>
          <w:sz w:val="24"/>
          <w:szCs w:val="24"/>
          <w:lang w:val="en-US"/>
        </w:rPr>
      </w:pPr>
      <w:proofErr w:type="spellStart"/>
      <w:r w:rsidRPr="005A7BE6">
        <w:rPr>
          <w:rFonts w:ascii="Times New Roman" w:hAnsi="Times New Roman" w:cs="Times New Roman"/>
          <w:i/>
          <w:sz w:val="24"/>
          <w:szCs w:val="24"/>
          <w:lang w:val="en-US"/>
        </w:rPr>
        <w:lastRenderedPageBreak/>
        <w:t>Niklas</w:t>
      </w:r>
      <w:proofErr w:type="spellEnd"/>
      <w:r w:rsidRPr="005A7BE6">
        <w:rPr>
          <w:rFonts w:ascii="Times New Roman" w:hAnsi="Times New Roman" w:cs="Times New Roman"/>
          <w:i/>
          <w:sz w:val="24"/>
          <w:szCs w:val="24"/>
          <w:lang w:val="en-US"/>
        </w:rPr>
        <w:t xml:space="preserve"> </w:t>
      </w:r>
      <w:proofErr w:type="spellStart"/>
      <w:r w:rsidRPr="005A7BE6">
        <w:rPr>
          <w:rFonts w:ascii="Times New Roman" w:hAnsi="Times New Roman" w:cs="Times New Roman"/>
          <w:i/>
          <w:sz w:val="24"/>
          <w:szCs w:val="24"/>
          <w:lang w:val="en-US"/>
        </w:rPr>
        <w:t>Waellstedt</w:t>
      </w:r>
      <w:proofErr w:type="spellEnd"/>
      <w:r w:rsidRPr="005A7BE6">
        <w:rPr>
          <w:rFonts w:ascii="Times New Roman" w:hAnsi="Times New Roman" w:cs="Times New Roman"/>
          <w:i/>
          <w:sz w:val="24"/>
          <w:szCs w:val="24"/>
          <w:lang w:val="en-US"/>
        </w:rPr>
        <w:t xml:space="preserve">, Roland </w:t>
      </w:r>
      <w:proofErr w:type="spellStart"/>
      <w:r w:rsidRPr="005A7BE6">
        <w:rPr>
          <w:rFonts w:ascii="Times New Roman" w:hAnsi="Times New Roman" w:cs="Times New Roman"/>
          <w:i/>
          <w:sz w:val="24"/>
          <w:szCs w:val="24"/>
          <w:lang w:val="en-US"/>
        </w:rPr>
        <w:t>Almqvist</w:t>
      </w:r>
      <w:proofErr w:type="spellEnd"/>
      <w:r w:rsidRPr="005A7BE6">
        <w:rPr>
          <w:rFonts w:ascii="Times New Roman" w:hAnsi="Times New Roman" w:cs="Times New Roman"/>
          <w:i/>
          <w:sz w:val="24"/>
          <w:szCs w:val="24"/>
          <w:lang w:val="en-US"/>
        </w:rPr>
        <w:t xml:space="preserve">, </w:t>
      </w:r>
      <w:proofErr w:type="spellStart"/>
      <w:r w:rsidRPr="005A7BE6">
        <w:rPr>
          <w:rFonts w:ascii="Times New Roman" w:hAnsi="Times New Roman" w:cs="Times New Roman"/>
          <w:i/>
          <w:sz w:val="24"/>
          <w:szCs w:val="24"/>
          <w:lang w:val="en-US"/>
        </w:rPr>
        <w:t>Guiseppe</w:t>
      </w:r>
      <w:proofErr w:type="spellEnd"/>
      <w:r w:rsidRPr="005A7BE6">
        <w:rPr>
          <w:rFonts w:ascii="Times New Roman" w:hAnsi="Times New Roman" w:cs="Times New Roman"/>
          <w:i/>
          <w:sz w:val="24"/>
          <w:szCs w:val="24"/>
          <w:lang w:val="en-US"/>
        </w:rPr>
        <w:t xml:space="preserve"> </w:t>
      </w:r>
      <w:proofErr w:type="spellStart"/>
      <w:r w:rsidRPr="005A7BE6">
        <w:rPr>
          <w:rFonts w:ascii="Times New Roman" w:hAnsi="Times New Roman" w:cs="Times New Roman"/>
          <w:i/>
          <w:sz w:val="24"/>
          <w:szCs w:val="24"/>
          <w:lang w:val="en-US"/>
        </w:rPr>
        <w:t>Grossi</w:t>
      </w:r>
      <w:proofErr w:type="spellEnd"/>
      <w:r w:rsidRPr="005A7BE6">
        <w:rPr>
          <w:rFonts w:ascii="Times New Roman" w:hAnsi="Times New Roman" w:cs="Times New Roman"/>
          <w:sz w:val="24"/>
          <w:szCs w:val="24"/>
          <w:lang w:val="en-US"/>
        </w:rPr>
        <w:t xml:space="preserve">. </w:t>
      </w:r>
      <w:proofErr w:type="spellStart"/>
      <w:r w:rsidRPr="005A7BE6">
        <w:rPr>
          <w:rFonts w:ascii="Times New Roman" w:hAnsi="Times New Roman" w:cs="Times New Roman"/>
          <w:sz w:val="24"/>
          <w:szCs w:val="24"/>
          <w:lang w:val="en-US"/>
        </w:rPr>
        <w:t>Organisational</w:t>
      </w:r>
      <w:proofErr w:type="spellEnd"/>
      <w:r w:rsidRPr="005A7BE6">
        <w:rPr>
          <w:rFonts w:ascii="Times New Roman" w:hAnsi="Times New Roman" w:cs="Times New Roman"/>
          <w:sz w:val="24"/>
          <w:szCs w:val="24"/>
          <w:lang w:val="en-US"/>
        </w:rPr>
        <w:t xml:space="preserve"> solutions for financial sustainability. A comparative case study from the Swedish Municipalities / researchgate.net/publication/261142300_Organisational-solutions-for-financial-sustainability.</w:t>
      </w:r>
    </w:p>
    <w:p w:rsidR="00617F72" w:rsidRPr="005A7BE6" w:rsidRDefault="00617F72" w:rsidP="005A7BE6">
      <w:pPr>
        <w:pStyle w:val="a3"/>
        <w:numPr>
          <w:ilvl w:val="0"/>
          <w:numId w:val="2"/>
        </w:numPr>
        <w:spacing w:after="0" w:line="240" w:lineRule="auto"/>
        <w:ind w:left="1066" w:hanging="357"/>
        <w:jc w:val="both"/>
        <w:rPr>
          <w:rFonts w:ascii="Times New Roman" w:hAnsi="Times New Roman" w:cs="Times New Roman"/>
          <w:sz w:val="24"/>
          <w:szCs w:val="24"/>
          <w:lang w:val="en-US"/>
        </w:rPr>
      </w:pPr>
      <w:proofErr w:type="spellStart"/>
      <w:r w:rsidRPr="005A7BE6">
        <w:rPr>
          <w:rFonts w:ascii="Times New Roman" w:hAnsi="Times New Roman" w:cs="Times New Roman"/>
          <w:sz w:val="24"/>
          <w:szCs w:val="24"/>
          <w:lang w:val="en-US"/>
        </w:rPr>
        <w:t>PriceWaterhouseCoopers</w:t>
      </w:r>
      <w:proofErr w:type="spellEnd"/>
      <w:r w:rsidRPr="005A7BE6">
        <w:rPr>
          <w:rFonts w:ascii="Times New Roman" w:hAnsi="Times New Roman" w:cs="Times New Roman"/>
          <w:sz w:val="24"/>
          <w:szCs w:val="24"/>
          <w:lang w:val="en-US"/>
        </w:rPr>
        <w:t xml:space="preserve"> (2006). National Financial Sustainability Study of Local Government. Sydney, NSW: PWC</w:t>
      </w:r>
      <w:r w:rsidRPr="005A7BE6">
        <w:rPr>
          <w:rFonts w:ascii="Times New Roman" w:hAnsi="Times New Roman" w:cs="Times New Roman"/>
          <w:sz w:val="24"/>
          <w:szCs w:val="24"/>
        </w:rPr>
        <w:t>.</w:t>
      </w:r>
    </w:p>
    <w:p w:rsidR="00617F72" w:rsidRPr="005A7BE6" w:rsidRDefault="00617F72" w:rsidP="005A7BE6">
      <w:pPr>
        <w:pStyle w:val="a3"/>
        <w:numPr>
          <w:ilvl w:val="0"/>
          <w:numId w:val="2"/>
        </w:numPr>
        <w:spacing w:after="0" w:line="240" w:lineRule="auto"/>
        <w:ind w:left="1066" w:hanging="357"/>
        <w:jc w:val="both"/>
        <w:rPr>
          <w:rFonts w:ascii="Times New Roman" w:hAnsi="Times New Roman" w:cs="Times New Roman"/>
          <w:sz w:val="24"/>
          <w:szCs w:val="24"/>
          <w:lang w:val="en-US"/>
        </w:rPr>
      </w:pPr>
      <w:proofErr w:type="spellStart"/>
      <w:r w:rsidRPr="005A7BE6">
        <w:rPr>
          <w:rFonts w:ascii="Times New Roman" w:hAnsi="Times New Roman" w:cs="Times New Roman"/>
          <w:i/>
          <w:sz w:val="24"/>
          <w:szCs w:val="24"/>
          <w:lang w:val="en-US"/>
        </w:rPr>
        <w:t>Helden</w:t>
      </w:r>
      <w:proofErr w:type="spellEnd"/>
      <w:r w:rsidRPr="005A7BE6">
        <w:rPr>
          <w:rFonts w:ascii="Times New Roman" w:hAnsi="Times New Roman" w:cs="Times New Roman"/>
          <w:i/>
          <w:sz w:val="24"/>
          <w:szCs w:val="24"/>
          <w:lang w:val="en-US"/>
        </w:rPr>
        <w:t xml:space="preserve"> </w:t>
      </w:r>
      <w:proofErr w:type="gramStart"/>
      <w:r w:rsidRPr="005A7BE6">
        <w:rPr>
          <w:rFonts w:ascii="Times New Roman" w:hAnsi="Times New Roman" w:cs="Times New Roman"/>
          <w:i/>
          <w:sz w:val="24"/>
          <w:szCs w:val="24"/>
          <w:lang w:val="en-US"/>
        </w:rPr>
        <w:t>van.,</w:t>
      </w:r>
      <w:proofErr w:type="gramEnd"/>
      <w:r w:rsidRPr="005A7BE6">
        <w:rPr>
          <w:rFonts w:ascii="Times New Roman" w:hAnsi="Times New Roman" w:cs="Times New Roman"/>
          <w:i/>
          <w:sz w:val="24"/>
          <w:szCs w:val="24"/>
          <w:lang w:val="en-US"/>
        </w:rPr>
        <w:t xml:space="preserve"> G.I.</w:t>
      </w:r>
      <w:r w:rsidRPr="005A7BE6">
        <w:rPr>
          <w:rFonts w:ascii="Times New Roman" w:hAnsi="Times New Roman" w:cs="Times New Roman"/>
          <w:sz w:val="24"/>
          <w:szCs w:val="24"/>
          <w:lang w:val="en-US"/>
        </w:rPr>
        <w:t xml:space="preserve"> (2000)/ Is Financial Stress an Incentive for the Adoption of Businesslike Planning and Control in Local Government? A Comparative Study of Eight Dutch Municipalities. Financial Accountability and Management. 16. pp.83-100</w:t>
      </w:r>
      <w:r w:rsidRPr="005A7BE6">
        <w:rPr>
          <w:rFonts w:ascii="Times New Roman" w:hAnsi="Times New Roman" w:cs="Times New Roman"/>
          <w:sz w:val="24"/>
          <w:szCs w:val="24"/>
        </w:rPr>
        <w:t>.</w:t>
      </w:r>
    </w:p>
    <w:p w:rsidR="00617F72" w:rsidRPr="005A7BE6" w:rsidRDefault="00617F72" w:rsidP="005A7BE6">
      <w:pPr>
        <w:pStyle w:val="a3"/>
        <w:numPr>
          <w:ilvl w:val="0"/>
          <w:numId w:val="2"/>
        </w:numPr>
        <w:spacing w:after="0" w:line="240" w:lineRule="auto"/>
        <w:ind w:left="1066" w:hanging="357"/>
        <w:jc w:val="both"/>
        <w:rPr>
          <w:rFonts w:ascii="Times New Roman" w:hAnsi="Times New Roman" w:cs="Times New Roman"/>
          <w:sz w:val="24"/>
          <w:szCs w:val="24"/>
          <w:lang w:val="en-US"/>
        </w:rPr>
      </w:pPr>
      <w:r w:rsidRPr="005A7BE6">
        <w:rPr>
          <w:rFonts w:ascii="Times New Roman" w:hAnsi="Times New Roman" w:cs="Times New Roman"/>
          <w:i/>
          <w:sz w:val="24"/>
          <w:szCs w:val="24"/>
          <w:lang w:val="en-US"/>
        </w:rPr>
        <w:t>Park K</w:t>
      </w:r>
      <w:r w:rsidRPr="005A7BE6">
        <w:rPr>
          <w:rFonts w:ascii="Times New Roman" w:hAnsi="Times New Roman" w:cs="Times New Roman"/>
          <w:sz w:val="24"/>
          <w:szCs w:val="24"/>
          <w:lang w:val="en-US"/>
        </w:rPr>
        <w:t>. (2004). To File or not to File: The Causes of Municipal Bankruptcy in the United States. Journal of Public Budgeting. Accounting and Financial Management. 16. pp. 228-256.</w:t>
      </w:r>
    </w:p>
    <w:p w:rsidR="00617F72" w:rsidRPr="005A7BE6" w:rsidRDefault="00617F72" w:rsidP="005A7BE6">
      <w:pPr>
        <w:pStyle w:val="a3"/>
        <w:numPr>
          <w:ilvl w:val="0"/>
          <w:numId w:val="2"/>
        </w:numPr>
        <w:spacing w:after="0" w:line="240" w:lineRule="auto"/>
        <w:ind w:left="1066" w:hanging="357"/>
        <w:jc w:val="both"/>
        <w:rPr>
          <w:rFonts w:ascii="Times New Roman" w:hAnsi="Times New Roman" w:cs="Times New Roman"/>
          <w:sz w:val="24"/>
          <w:szCs w:val="24"/>
          <w:lang w:val="en-US"/>
        </w:rPr>
      </w:pPr>
      <w:r w:rsidRPr="005A7BE6">
        <w:rPr>
          <w:rFonts w:ascii="Times New Roman" w:hAnsi="Times New Roman" w:cs="Times New Roman"/>
          <w:sz w:val="24"/>
          <w:szCs w:val="24"/>
        </w:rPr>
        <w:t xml:space="preserve">Методология присвоения корпоративных рейтингов. </w:t>
      </w:r>
      <w:r w:rsidRPr="005A7BE6">
        <w:rPr>
          <w:rFonts w:ascii="Times New Roman" w:hAnsi="Times New Roman" w:cs="Times New Roman"/>
          <w:sz w:val="24"/>
          <w:szCs w:val="24"/>
          <w:lang w:val="en-US"/>
        </w:rPr>
        <w:t>Standard</w:t>
      </w:r>
      <w:r w:rsidRPr="005A7BE6">
        <w:rPr>
          <w:rFonts w:ascii="Times New Roman" w:hAnsi="Times New Roman" w:cs="Times New Roman"/>
          <w:sz w:val="24"/>
          <w:szCs w:val="24"/>
        </w:rPr>
        <w:t xml:space="preserve"> &amp;</w:t>
      </w:r>
      <w:proofErr w:type="spellStart"/>
      <w:r w:rsidRPr="005A7BE6">
        <w:rPr>
          <w:rFonts w:ascii="Times New Roman" w:hAnsi="Times New Roman" w:cs="Times New Roman"/>
          <w:sz w:val="24"/>
          <w:szCs w:val="24"/>
          <w:lang w:val="en-US"/>
        </w:rPr>
        <w:t>Poors</w:t>
      </w:r>
      <w:proofErr w:type="spellEnd"/>
      <w:r w:rsidRPr="005A7BE6">
        <w:rPr>
          <w:rFonts w:ascii="Times New Roman" w:hAnsi="Times New Roman" w:cs="Times New Roman"/>
          <w:sz w:val="24"/>
          <w:szCs w:val="24"/>
        </w:rPr>
        <w:t xml:space="preserve">. </w:t>
      </w:r>
      <w:r w:rsidRPr="005A7BE6">
        <w:rPr>
          <w:rFonts w:ascii="Times New Roman" w:hAnsi="Times New Roman" w:cs="Times New Roman"/>
          <w:sz w:val="24"/>
          <w:szCs w:val="24"/>
          <w:lang w:val="en-US"/>
        </w:rPr>
        <w:t>01.07.2019;</w:t>
      </w:r>
    </w:p>
    <w:p w:rsidR="00617F72" w:rsidRPr="005A7BE6" w:rsidRDefault="00617F72" w:rsidP="005A7BE6">
      <w:pPr>
        <w:pStyle w:val="a3"/>
        <w:numPr>
          <w:ilvl w:val="0"/>
          <w:numId w:val="2"/>
        </w:numPr>
        <w:spacing w:after="0" w:line="240" w:lineRule="auto"/>
        <w:ind w:left="1066" w:hanging="357"/>
        <w:jc w:val="both"/>
        <w:rPr>
          <w:rFonts w:ascii="Times New Roman" w:hAnsi="Times New Roman" w:cs="Times New Roman"/>
          <w:sz w:val="24"/>
          <w:szCs w:val="24"/>
          <w:lang w:val="en-US"/>
        </w:rPr>
      </w:pPr>
      <w:r w:rsidRPr="005A7BE6">
        <w:rPr>
          <w:rFonts w:ascii="Times New Roman" w:hAnsi="Times New Roman" w:cs="Times New Roman"/>
          <w:sz w:val="24"/>
          <w:szCs w:val="24"/>
          <w:lang w:val="en-US"/>
        </w:rPr>
        <w:t xml:space="preserve">Integrated Oil and Gas Methodology. </w:t>
      </w:r>
      <w:proofErr w:type="spellStart"/>
      <w:r w:rsidRPr="005A7BE6">
        <w:rPr>
          <w:rFonts w:ascii="Times New Roman" w:hAnsi="Times New Roman" w:cs="Times New Roman"/>
          <w:sz w:val="24"/>
          <w:szCs w:val="24"/>
          <w:lang w:val="en-US"/>
        </w:rPr>
        <w:t>Moodys</w:t>
      </w:r>
      <w:proofErr w:type="spellEnd"/>
      <w:r w:rsidRPr="005A7BE6">
        <w:rPr>
          <w:rFonts w:ascii="Times New Roman" w:hAnsi="Times New Roman" w:cs="Times New Roman"/>
          <w:sz w:val="24"/>
          <w:szCs w:val="24"/>
          <w:lang w:val="en-US"/>
        </w:rPr>
        <w:t xml:space="preserve"> Investors Service. 23. Sept 2019;</w:t>
      </w:r>
    </w:p>
    <w:p w:rsidR="00617F72" w:rsidRPr="005A7BE6" w:rsidRDefault="00617F72" w:rsidP="005A7BE6">
      <w:pPr>
        <w:pStyle w:val="a3"/>
        <w:numPr>
          <w:ilvl w:val="0"/>
          <w:numId w:val="2"/>
        </w:numPr>
        <w:spacing w:after="0" w:line="240" w:lineRule="auto"/>
        <w:ind w:left="1066" w:hanging="357"/>
        <w:jc w:val="both"/>
        <w:rPr>
          <w:rFonts w:ascii="Times New Roman" w:hAnsi="Times New Roman" w:cs="Times New Roman"/>
          <w:sz w:val="24"/>
          <w:szCs w:val="24"/>
          <w:lang w:val="en-US"/>
        </w:rPr>
      </w:pPr>
      <w:r w:rsidRPr="005A7BE6">
        <w:rPr>
          <w:rFonts w:ascii="Times New Roman" w:hAnsi="Times New Roman" w:cs="Times New Roman"/>
          <w:sz w:val="24"/>
          <w:szCs w:val="24"/>
        </w:rPr>
        <w:t xml:space="preserve"> Методология: бизнес-риски/финансовые риски: расширенная матрица. </w:t>
      </w:r>
      <w:r w:rsidRPr="005A7BE6">
        <w:rPr>
          <w:rFonts w:ascii="Times New Roman" w:hAnsi="Times New Roman" w:cs="Times New Roman"/>
          <w:sz w:val="24"/>
          <w:szCs w:val="24"/>
          <w:lang w:val="en-US"/>
        </w:rPr>
        <w:t>Standard &amp;</w:t>
      </w:r>
      <w:proofErr w:type="spellStart"/>
      <w:r w:rsidRPr="005A7BE6">
        <w:rPr>
          <w:rFonts w:ascii="Times New Roman" w:hAnsi="Times New Roman" w:cs="Times New Roman"/>
          <w:sz w:val="24"/>
          <w:szCs w:val="24"/>
          <w:lang w:val="en-US"/>
        </w:rPr>
        <w:t>Poors</w:t>
      </w:r>
      <w:proofErr w:type="spellEnd"/>
      <w:r w:rsidRPr="005A7BE6">
        <w:rPr>
          <w:rFonts w:ascii="Times New Roman" w:hAnsi="Times New Roman" w:cs="Times New Roman"/>
          <w:sz w:val="24"/>
          <w:szCs w:val="24"/>
          <w:lang w:val="en-US"/>
        </w:rPr>
        <w:t xml:space="preserve">. 18.09.2012; </w:t>
      </w:r>
    </w:p>
    <w:p w:rsidR="00617F72" w:rsidRPr="005A7BE6" w:rsidRDefault="00617F72" w:rsidP="005A7BE6">
      <w:pPr>
        <w:pStyle w:val="a3"/>
        <w:numPr>
          <w:ilvl w:val="0"/>
          <w:numId w:val="2"/>
        </w:numPr>
        <w:spacing w:after="0" w:line="240" w:lineRule="auto"/>
        <w:ind w:left="1066" w:hanging="357"/>
        <w:jc w:val="both"/>
        <w:rPr>
          <w:rFonts w:ascii="Times New Roman" w:hAnsi="Times New Roman" w:cs="Times New Roman"/>
          <w:sz w:val="24"/>
          <w:szCs w:val="24"/>
          <w:lang w:val="en-US"/>
        </w:rPr>
      </w:pPr>
      <w:r w:rsidRPr="005A7BE6">
        <w:rPr>
          <w:rFonts w:ascii="Times New Roman" w:hAnsi="Times New Roman" w:cs="Times New Roman"/>
          <w:sz w:val="24"/>
          <w:szCs w:val="24"/>
          <w:lang w:val="en-US"/>
        </w:rPr>
        <w:t xml:space="preserve">Aerospace and </w:t>
      </w:r>
      <w:proofErr w:type="spellStart"/>
      <w:r w:rsidRPr="005A7BE6">
        <w:rPr>
          <w:rFonts w:ascii="Times New Roman" w:hAnsi="Times New Roman" w:cs="Times New Roman"/>
          <w:sz w:val="24"/>
          <w:szCs w:val="24"/>
          <w:lang w:val="en-US"/>
        </w:rPr>
        <w:t>Defence</w:t>
      </w:r>
      <w:proofErr w:type="spellEnd"/>
      <w:r w:rsidRPr="005A7BE6">
        <w:rPr>
          <w:rFonts w:ascii="Times New Roman" w:hAnsi="Times New Roman" w:cs="Times New Roman"/>
          <w:sz w:val="24"/>
          <w:szCs w:val="24"/>
          <w:lang w:val="en-US"/>
        </w:rPr>
        <w:t xml:space="preserve"> Methodology. </w:t>
      </w:r>
      <w:proofErr w:type="spellStart"/>
      <w:r w:rsidRPr="005A7BE6">
        <w:rPr>
          <w:rFonts w:ascii="Times New Roman" w:hAnsi="Times New Roman" w:cs="Times New Roman"/>
          <w:sz w:val="24"/>
          <w:szCs w:val="24"/>
          <w:lang w:val="en-US"/>
        </w:rPr>
        <w:t>Moodys</w:t>
      </w:r>
      <w:proofErr w:type="spellEnd"/>
      <w:r w:rsidRPr="005A7BE6">
        <w:rPr>
          <w:rFonts w:ascii="Times New Roman" w:hAnsi="Times New Roman" w:cs="Times New Roman"/>
          <w:sz w:val="24"/>
          <w:szCs w:val="24"/>
          <w:lang w:val="en-US"/>
        </w:rPr>
        <w:t xml:space="preserve"> Investors Service. 07 Jul. 2020.</w:t>
      </w:r>
    </w:p>
    <w:p w:rsidR="00617F72" w:rsidRPr="005A7BE6" w:rsidRDefault="00617F72" w:rsidP="005A7BE6">
      <w:pPr>
        <w:pStyle w:val="a3"/>
        <w:numPr>
          <w:ilvl w:val="0"/>
          <w:numId w:val="2"/>
        </w:numPr>
        <w:spacing w:after="0" w:line="240" w:lineRule="auto"/>
        <w:ind w:left="1066" w:hanging="357"/>
        <w:jc w:val="both"/>
        <w:rPr>
          <w:rFonts w:ascii="Times New Roman" w:hAnsi="Times New Roman" w:cs="Times New Roman"/>
          <w:sz w:val="24"/>
          <w:szCs w:val="24"/>
          <w:lang w:val="en-US"/>
        </w:rPr>
      </w:pPr>
      <w:r w:rsidRPr="005A7BE6">
        <w:rPr>
          <w:rFonts w:ascii="Times New Roman" w:hAnsi="Times New Roman" w:cs="Times New Roman"/>
          <w:sz w:val="24"/>
          <w:szCs w:val="24"/>
          <w:lang w:val="en-US"/>
        </w:rPr>
        <w:t xml:space="preserve"> Manufacturing Methodology. </w:t>
      </w:r>
      <w:proofErr w:type="spellStart"/>
      <w:r w:rsidRPr="005A7BE6">
        <w:rPr>
          <w:rFonts w:ascii="Times New Roman" w:hAnsi="Times New Roman" w:cs="Times New Roman"/>
          <w:sz w:val="24"/>
          <w:szCs w:val="24"/>
          <w:lang w:val="en-US"/>
        </w:rPr>
        <w:t>Moodys</w:t>
      </w:r>
      <w:proofErr w:type="spellEnd"/>
      <w:r w:rsidRPr="005A7BE6">
        <w:rPr>
          <w:rFonts w:ascii="Times New Roman" w:hAnsi="Times New Roman" w:cs="Times New Roman"/>
          <w:sz w:val="24"/>
          <w:szCs w:val="24"/>
          <w:lang w:val="en-US"/>
        </w:rPr>
        <w:t xml:space="preserve"> Investors Service. 3. March 2020; </w:t>
      </w:r>
    </w:p>
    <w:p w:rsidR="00617F72" w:rsidRPr="005A7BE6" w:rsidRDefault="00617F72" w:rsidP="005A7BE6">
      <w:pPr>
        <w:pStyle w:val="a3"/>
        <w:numPr>
          <w:ilvl w:val="0"/>
          <w:numId w:val="2"/>
        </w:numPr>
        <w:spacing w:after="0" w:line="240" w:lineRule="auto"/>
        <w:ind w:left="1066" w:hanging="357"/>
        <w:jc w:val="both"/>
        <w:rPr>
          <w:rFonts w:ascii="Times New Roman" w:hAnsi="Times New Roman" w:cs="Times New Roman"/>
          <w:sz w:val="24"/>
          <w:szCs w:val="24"/>
          <w:lang w:val="en-US"/>
        </w:rPr>
      </w:pPr>
      <w:r w:rsidRPr="005A7BE6">
        <w:rPr>
          <w:rFonts w:ascii="Times New Roman" w:hAnsi="Times New Roman" w:cs="Times New Roman"/>
          <w:sz w:val="24"/>
          <w:szCs w:val="24"/>
        </w:rPr>
        <w:t xml:space="preserve"> Методология присвоения рейтингов организациям, связанным с государством. </w:t>
      </w:r>
      <w:r w:rsidRPr="005A7BE6">
        <w:rPr>
          <w:rFonts w:ascii="Times New Roman" w:hAnsi="Times New Roman" w:cs="Times New Roman"/>
          <w:sz w:val="24"/>
          <w:szCs w:val="24"/>
          <w:lang w:val="en-US"/>
        </w:rPr>
        <w:t>Standard &amp;</w:t>
      </w:r>
      <w:proofErr w:type="spellStart"/>
      <w:r w:rsidRPr="005A7BE6">
        <w:rPr>
          <w:rFonts w:ascii="Times New Roman" w:hAnsi="Times New Roman" w:cs="Times New Roman"/>
          <w:sz w:val="24"/>
          <w:szCs w:val="24"/>
          <w:lang w:val="en-US"/>
        </w:rPr>
        <w:t>Poors</w:t>
      </w:r>
      <w:proofErr w:type="spellEnd"/>
      <w:r w:rsidRPr="005A7BE6">
        <w:rPr>
          <w:rFonts w:ascii="Times New Roman" w:hAnsi="Times New Roman" w:cs="Times New Roman"/>
          <w:sz w:val="24"/>
          <w:szCs w:val="24"/>
          <w:lang w:val="en-US"/>
        </w:rPr>
        <w:t xml:space="preserve">. 25.03.2015; </w:t>
      </w:r>
    </w:p>
    <w:p w:rsidR="00617F72" w:rsidRPr="005A7BE6" w:rsidRDefault="00617F72" w:rsidP="005A7BE6">
      <w:pPr>
        <w:pStyle w:val="a3"/>
        <w:numPr>
          <w:ilvl w:val="0"/>
          <w:numId w:val="2"/>
        </w:numPr>
        <w:spacing w:after="0" w:line="240" w:lineRule="auto"/>
        <w:ind w:left="1066" w:hanging="357"/>
        <w:jc w:val="both"/>
        <w:rPr>
          <w:rFonts w:ascii="Times New Roman" w:hAnsi="Times New Roman" w:cs="Times New Roman"/>
          <w:sz w:val="24"/>
          <w:szCs w:val="24"/>
          <w:lang w:val="en-US"/>
        </w:rPr>
      </w:pPr>
      <w:r w:rsidRPr="005A7BE6">
        <w:rPr>
          <w:rFonts w:ascii="Times New Roman" w:hAnsi="Times New Roman" w:cs="Times New Roman"/>
          <w:sz w:val="24"/>
          <w:szCs w:val="24"/>
          <w:lang w:val="en-US"/>
        </w:rPr>
        <w:t xml:space="preserve"> Cross-sectoral Government-Related Issuers Methodology. </w:t>
      </w:r>
      <w:proofErr w:type="spellStart"/>
      <w:r w:rsidRPr="005A7BE6">
        <w:rPr>
          <w:rFonts w:ascii="Times New Roman" w:hAnsi="Times New Roman" w:cs="Times New Roman"/>
          <w:sz w:val="24"/>
          <w:szCs w:val="24"/>
          <w:lang w:val="en-US"/>
        </w:rPr>
        <w:t>Moodys</w:t>
      </w:r>
      <w:proofErr w:type="spellEnd"/>
      <w:r w:rsidRPr="005A7BE6">
        <w:rPr>
          <w:rFonts w:ascii="Times New Roman" w:hAnsi="Times New Roman" w:cs="Times New Roman"/>
          <w:sz w:val="24"/>
          <w:szCs w:val="24"/>
          <w:lang w:val="en-US"/>
        </w:rPr>
        <w:t xml:space="preserve"> Investors Service. </w:t>
      </w:r>
      <w:r w:rsidRPr="00C23723">
        <w:rPr>
          <w:rFonts w:ascii="Times New Roman" w:hAnsi="Times New Roman" w:cs="Times New Roman"/>
          <w:sz w:val="24"/>
          <w:szCs w:val="24"/>
          <w:lang w:val="en-US"/>
        </w:rPr>
        <w:t xml:space="preserve">21 </w:t>
      </w:r>
      <w:r w:rsidRPr="005A7BE6">
        <w:rPr>
          <w:rFonts w:ascii="Times New Roman" w:hAnsi="Times New Roman" w:cs="Times New Roman"/>
          <w:sz w:val="24"/>
          <w:szCs w:val="24"/>
          <w:lang w:val="en-US"/>
        </w:rPr>
        <w:t>Feb</w:t>
      </w:r>
      <w:r w:rsidRPr="00C23723">
        <w:rPr>
          <w:rFonts w:ascii="Times New Roman" w:hAnsi="Times New Roman" w:cs="Times New Roman"/>
          <w:sz w:val="24"/>
          <w:szCs w:val="24"/>
          <w:lang w:val="en-US"/>
        </w:rPr>
        <w:t xml:space="preserve"> 2020. </w:t>
      </w:r>
      <w:r w:rsidRPr="005A7BE6">
        <w:rPr>
          <w:rFonts w:ascii="Times New Roman" w:hAnsi="Times New Roman" w:cs="Times New Roman"/>
          <w:sz w:val="24"/>
          <w:szCs w:val="24"/>
          <w:lang w:val="en-US"/>
        </w:rPr>
        <w:t>P</w:t>
      </w:r>
      <w:r w:rsidRPr="00C23723">
        <w:rPr>
          <w:rFonts w:ascii="Times New Roman" w:hAnsi="Times New Roman" w:cs="Times New Roman"/>
          <w:sz w:val="24"/>
          <w:szCs w:val="24"/>
          <w:lang w:val="en-US"/>
        </w:rPr>
        <w:t>.7</w:t>
      </w:r>
      <w:proofErr w:type="gramStart"/>
      <w:r w:rsidRPr="00C23723">
        <w:rPr>
          <w:rFonts w:ascii="Times New Roman" w:hAnsi="Times New Roman" w:cs="Times New Roman"/>
          <w:sz w:val="24"/>
          <w:szCs w:val="24"/>
          <w:lang w:val="en-US"/>
        </w:rPr>
        <w:t>,10</w:t>
      </w:r>
      <w:proofErr w:type="gramEnd"/>
      <w:r w:rsidRPr="00C23723">
        <w:rPr>
          <w:rFonts w:ascii="Times New Roman" w:hAnsi="Times New Roman" w:cs="Times New Roman"/>
          <w:sz w:val="24"/>
          <w:szCs w:val="24"/>
          <w:lang w:val="en-US"/>
        </w:rPr>
        <w:t>.</w:t>
      </w:r>
    </w:p>
    <w:p w:rsidR="00617F72" w:rsidRPr="005A7BE6" w:rsidRDefault="00617F72" w:rsidP="005A7BE6">
      <w:pPr>
        <w:pStyle w:val="a8"/>
        <w:numPr>
          <w:ilvl w:val="0"/>
          <w:numId w:val="2"/>
        </w:numPr>
        <w:ind w:left="1066" w:hanging="357"/>
        <w:jc w:val="both"/>
        <w:rPr>
          <w:sz w:val="24"/>
          <w:szCs w:val="24"/>
        </w:rPr>
      </w:pPr>
      <w:r w:rsidRPr="005A7BE6">
        <w:rPr>
          <w:rFonts w:ascii="Times New Roman" w:hAnsi="Times New Roman" w:cs="Times New Roman"/>
          <w:i/>
          <w:sz w:val="24"/>
          <w:szCs w:val="24"/>
        </w:rPr>
        <w:t>Данилова Н.Л.</w:t>
      </w:r>
      <w:r w:rsidRPr="005A7BE6">
        <w:rPr>
          <w:rFonts w:ascii="Times New Roman" w:hAnsi="Times New Roman" w:cs="Times New Roman"/>
          <w:sz w:val="24"/>
          <w:szCs w:val="24"/>
        </w:rPr>
        <w:t xml:space="preserve"> Сущность и проблемы анализа финансовой устойчивости коммерческого предприятия // Концепт. 2014. № 2. С. 4-8</w:t>
      </w:r>
    </w:p>
    <w:p w:rsidR="00617F72" w:rsidRPr="005A7BE6" w:rsidRDefault="00617F72" w:rsidP="005A7BE6">
      <w:pPr>
        <w:pStyle w:val="a8"/>
        <w:numPr>
          <w:ilvl w:val="0"/>
          <w:numId w:val="2"/>
        </w:numPr>
        <w:ind w:left="1066" w:hanging="357"/>
        <w:jc w:val="both"/>
        <w:rPr>
          <w:sz w:val="24"/>
          <w:szCs w:val="24"/>
        </w:rPr>
      </w:pPr>
      <w:r w:rsidRPr="005A7BE6">
        <w:rPr>
          <w:rFonts w:ascii="Times New Roman" w:hAnsi="Times New Roman" w:cs="Times New Roman"/>
          <w:i/>
          <w:sz w:val="24"/>
          <w:szCs w:val="24"/>
        </w:rPr>
        <w:t>Попова Ю.Е</w:t>
      </w:r>
      <w:r w:rsidRPr="005A7BE6">
        <w:rPr>
          <w:rFonts w:ascii="Times New Roman" w:hAnsi="Times New Roman" w:cs="Times New Roman"/>
          <w:sz w:val="24"/>
          <w:szCs w:val="24"/>
        </w:rPr>
        <w:t xml:space="preserve">., </w:t>
      </w:r>
      <w:proofErr w:type="spellStart"/>
      <w:r w:rsidRPr="005A7BE6">
        <w:rPr>
          <w:rFonts w:ascii="Times New Roman" w:hAnsi="Times New Roman" w:cs="Times New Roman"/>
          <w:i/>
          <w:sz w:val="24"/>
          <w:szCs w:val="24"/>
        </w:rPr>
        <w:t>Почекаева</w:t>
      </w:r>
      <w:proofErr w:type="spellEnd"/>
      <w:r w:rsidRPr="005A7BE6">
        <w:rPr>
          <w:rFonts w:ascii="Times New Roman" w:hAnsi="Times New Roman" w:cs="Times New Roman"/>
          <w:i/>
          <w:sz w:val="24"/>
          <w:szCs w:val="24"/>
        </w:rPr>
        <w:t xml:space="preserve"> О.В.</w:t>
      </w:r>
      <w:r w:rsidRPr="005A7BE6">
        <w:rPr>
          <w:rFonts w:ascii="Times New Roman" w:hAnsi="Times New Roman" w:cs="Times New Roman"/>
          <w:sz w:val="24"/>
          <w:szCs w:val="24"/>
        </w:rPr>
        <w:t xml:space="preserve"> Оценка финансовой устойчивости организации и пути ее повышения // Экономические исследования и разработки. 2019. Режим доступа: </w:t>
      </w:r>
      <w:r w:rsidRPr="005A7BE6">
        <w:rPr>
          <w:rFonts w:ascii="Times New Roman" w:hAnsi="Times New Roman" w:cs="Times New Roman"/>
          <w:sz w:val="24"/>
          <w:szCs w:val="24"/>
          <w:lang w:val="en-US"/>
        </w:rPr>
        <w:t>http</w:t>
      </w:r>
      <w:r w:rsidRPr="005A7BE6">
        <w:rPr>
          <w:rFonts w:ascii="Times New Roman" w:hAnsi="Times New Roman" w:cs="Times New Roman"/>
          <w:sz w:val="24"/>
          <w:szCs w:val="24"/>
        </w:rPr>
        <w:t>: //</w:t>
      </w:r>
      <w:proofErr w:type="spellStart"/>
      <w:r w:rsidRPr="005A7BE6">
        <w:rPr>
          <w:rFonts w:ascii="Times New Roman" w:hAnsi="Times New Roman" w:cs="Times New Roman"/>
          <w:sz w:val="24"/>
          <w:szCs w:val="24"/>
          <w:lang w:val="en-US"/>
        </w:rPr>
        <w:t>edrj</w:t>
      </w:r>
      <w:proofErr w:type="spellEnd"/>
      <w:r w:rsidRPr="005A7BE6">
        <w:rPr>
          <w:rFonts w:ascii="Times New Roman" w:hAnsi="Times New Roman" w:cs="Times New Roman"/>
          <w:sz w:val="24"/>
          <w:szCs w:val="24"/>
        </w:rPr>
        <w:t>.</w:t>
      </w:r>
      <w:proofErr w:type="spellStart"/>
      <w:r w:rsidRPr="005A7BE6">
        <w:rPr>
          <w:rFonts w:ascii="Times New Roman" w:hAnsi="Times New Roman" w:cs="Times New Roman"/>
          <w:sz w:val="24"/>
          <w:szCs w:val="24"/>
          <w:lang w:val="en-US"/>
        </w:rPr>
        <w:t>ru</w:t>
      </w:r>
      <w:proofErr w:type="spellEnd"/>
      <w:r w:rsidRPr="005A7BE6">
        <w:rPr>
          <w:rFonts w:ascii="Times New Roman" w:hAnsi="Times New Roman" w:cs="Times New Roman"/>
          <w:sz w:val="24"/>
          <w:szCs w:val="24"/>
        </w:rPr>
        <w:t>/</w:t>
      </w:r>
      <w:r w:rsidRPr="005A7BE6">
        <w:rPr>
          <w:rFonts w:ascii="Times New Roman" w:hAnsi="Times New Roman" w:cs="Times New Roman"/>
          <w:sz w:val="24"/>
          <w:szCs w:val="24"/>
          <w:lang w:val="en-US"/>
        </w:rPr>
        <w:t>article</w:t>
      </w:r>
      <w:r w:rsidRPr="005A7BE6">
        <w:rPr>
          <w:rFonts w:ascii="Times New Roman" w:hAnsi="Times New Roman" w:cs="Times New Roman"/>
          <w:sz w:val="24"/>
          <w:szCs w:val="24"/>
        </w:rPr>
        <w:t>/13-07-19</w:t>
      </w:r>
    </w:p>
    <w:p w:rsidR="00617F72" w:rsidRPr="005A7BE6" w:rsidRDefault="00617F72" w:rsidP="005A7BE6">
      <w:pPr>
        <w:pStyle w:val="a8"/>
        <w:numPr>
          <w:ilvl w:val="0"/>
          <w:numId w:val="2"/>
        </w:numPr>
        <w:ind w:left="1066" w:hanging="357"/>
        <w:jc w:val="both"/>
        <w:rPr>
          <w:sz w:val="24"/>
          <w:szCs w:val="24"/>
        </w:rPr>
      </w:pPr>
      <w:proofErr w:type="spellStart"/>
      <w:r w:rsidRPr="005A7BE6">
        <w:rPr>
          <w:rFonts w:ascii="Times New Roman" w:hAnsi="Times New Roman" w:cs="Times New Roman"/>
          <w:i/>
          <w:sz w:val="24"/>
          <w:szCs w:val="24"/>
        </w:rPr>
        <w:t>Ризоев</w:t>
      </w:r>
      <w:proofErr w:type="spellEnd"/>
      <w:r w:rsidRPr="005A7BE6">
        <w:rPr>
          <w:rFonts w:ascii="Times New Roman" w:hAnsi="Times New Roman" w:cs="Times New Roman"/>
          <w:i/>
          <w:sz w:val="24"/>
          <w:szCs w:val="24"/>
        </w:rPr>
        <w:t xml:space="preserve"> Ф.У.</w:t>
      </w:r>
      <w:r w:rsidRPr="005A7BE6">
        <w:rPr>
          <w:rFonts w:ascii="Times New Roman" w:hAnsi="Times New Roman" w:cs="Times New Roman"/>
          <w:sz w:val="24"/>
          <w:szCs w:val="24"/>
        </w:rPr>
        <w:t xml:space="preserve"> Классификация методов оценки финансового состояния коммерческих организаций // Экономика и бизнес: теория и практика. 2015. № 10. С. 117-121</w:t>
      </w:r>
    </w:p>
    <w:p w:rsidR="00617F72" w:rsidRPr="005A7BE6" w:rsidRDefault="00617F72" w:rsidP="005A7BE6">
      <w:pPr>
        <w:pStyle w:val="a8"/>
        <w:numPr>
          <w:ilvl w:val="0"/>
          <w:numId w:val="2"/>
        </w:numPr>
        <w:ind w:left="1066" w:hanging="357"/>
        <w:jc w:val="both"/>
        <w:rPr>
          <w:sz w:val="24"/>
          <w:szCs w:val="24"/>
        </w:rPr>
      </w:pPr>
      <w:r w:rsidRPr="005A7BE6">
        <w:rPr>
          <w:rFonts w:ascii="Times New Roman" w:hAnsi="Times New Roman" w:cs="Times New Roman"/>
          <w:i/>
          <w:sz w:val="24"/>
          <w:szCs w:val="24"/>
        </w:rPr>
        <w:t xml:space="preserve">Бороухин Д.С., Царева С.В., </w:t>
      </w:r>
      <w:proofErr w:type="spellStart"/>
      <w:r w:rsidRPr="005A7BE6">
        <w:rPr>
          <w:rFonts w:ascii="Times New Roman" w:hAnsi="Times New Roman" w:cs="Times New Roman"/>
          <w:i/>
          <w:sz w:val="24"/>
          <w:szCs w:val="24"/>
        </w:rPr>
        <w:t>Гапоненкова</w:t>
      </w:r>
      <w:proofErr w:type="spellEnd"/>
      <w:r w:rsidRPr="005A7BE6">
        <w:rPr>
          <w:rFonts w:ascii="Times New Roman" w:hAnsi="Times New Roman" w:cs="Times New Roman"/>
          <w:i/>
          <w:sz w:val="24"/>
          <w:szCs w:val="24"/>
        </w:rPr>
        <w:t xml:space="preserve"> Н.Б.</w:t>
      </w:r>
      <w:r w:rsidRPr="005A7BE6">
        <w:rPr>
          <w:rFonts w:ascii="Times New Roman" w:hAnsi="Times New Roman" w:cs="Times New Roman"/>
          <w:sz w:val="24"/>
          <w:szCs w:val="24"/>
        </w:rPr>
        <w:t xml:space="preserve"> и др. Финансовый анализ: риски, кредитоспособность, инвестиции. М.: Изд-во Академии Естествознания, 2013.</w:t>
      </w:r>
    </w:p>
    <w:p w:rsidR="00617F72" w:rsidRPr="005A7BE6" w:rsidRDefault="00617F72" w:rsidP="005A7BE6">
      <w:pPr>
        <w:pStyle w:val="a8"/>
        <w:numPr>
          <w:ilvl w:val="0"/>
          <w:numId w:val="2"/>
        </w:numPr>
        <w:ind w:left="1066" w:hanging="357"/>
        <w:jc w:val="both"/>
        <w:rPr>
          <w:rFonts w:ascii="Times New Roman" w:hAnsi="Times New Roman" w:cs="Times New Roman"/>
          <w:sz w:val="24"/>
          <w:szCs w:val="24"/>
        </w:rPr>
      </w:pPr>
      <w:r w:rsidRPr="005A7BE6">
        <w:rPr>
          <w:rFonts w:ascii="Times New Roman" w:hAnsi="Times New Roman" w:cs="Times New Roman"/>
          <w:sz w:val="24"/>
          <w:szCs w:val="24"/>
        </w:rPr>
        <w:t>Методология присвоения кредитных рейтингов нефинансовым компаниям по национальной шкале для Российской Федерации. Рейтинговое агентство «АКРА»</w:t>
      </w:r>
    </w:p>
    <w:p w:rsidR="00617F72" w:rsidRPr="005A7BE6" w:rsidRDefault="00617F72" w:rsidP="005A7BE6">
      <w:pPr>
        <w:pStyle w:val="a8"/>
        <w:numPr>
          <w:ilvl w:val="0"/>
          <w:numId w:val="2"/>
        </w:numPr>
        <w:ind w:left="1066" w:hanging="357"/>
        <w:jc w:val="both"/>
        <w:rPr>
          <w:rFonts w:ascii="Times New Roman" w:hAnsi="Times New Roman" w:cs="Times New Roman"/>
          <w:sz w:val="24"/>
          <w:szCs w:val="24"/>
        </w:rPr>
      </w:pPr>
      <w:r w:rsidRPr="005A7BE6">
        <w:rPr>
          <w:rFonts w:ascii="Times New Roman" w:hAnsi="Times New Roman" w:cs="Times New Roman"/>
          <w:sz w:val="24"/>
          <w:szCs w:val="24"/>
        </w:rPr>
        <w:t>Методология присвоения рейтингов кредитоспособности нефинансовым организациям (утверждена на заседании методологического комитета № 256 от 24.08.2020). Рейтинговое агентство «Эксперт РА»</w:t>
      </w:r>
    </w:p>
    <w:p w:rsidR="00617F72" w:rsidRPr="005A7BE6" w:rsidRDefault="00617F72" w:rsidP="005A7BE6">
      <w:pPr>
        <w:pStyle w:val="a8"/>
        <w:numPr>
          <w:ilvl w:val="0"/>
          <w:numId w:val="2"/>
        </w:numPr>
        <w:ind w:left="1066" w:hanging="357"/>
        <w:jc w:val="both"/>
        <w:rPr>
          <w:rFonts w:ascii="Times New Roman" w:hAnsi="Times New Roman" w:cs="Times New Roman"/>
          <w:sz w:val="24"/>
          <w:szCs w:val="24"/>
        </w:rPr>
      </w:pPr>
      <w:r w:rsidRPr="005A7BE6">
        <w:rPr>
          <w:rFonts w:ascii="Times New Roman" w:hAnsi="Times New Roman" w:cs="Times New Roman"/>
          <w:sz w:val="24"/>
          <w:szCs w:val="24"/>
        </w:rPr>
        <w:t xml:space="preserve"> Методология присвоения рейтингов кредитоспособности банкам (утверждена на заседании методологического комитета № 248 от 27.07.2020). Рейтинговое агентство «Эксперт РА».</w:t>
      </w:r>
    </w:p>
    <w:p w:rsidR="00617F72" w:rsidRPr="005A7BE6" w:rsidRDefault="00617F72" w:rsidP="005A7BE6">
      <w:pPr>
        <w:pStyle w:val="a8"/>
        <w:numPr>
          <w:ilvl w:val="0"/>
          <w:numId w:val="2"/>
        </w:numPr>
        <w:ind w:left="1066" w:hanging="357"/>
        <w:jc w:val="both"/>
        <w:rPr>
          <w:rFonts w:ascii="Times New Roman" w:hAnsi="Times New Roman" w:cs="Times New Roman"/>
          <w:sz w:val="24"/>
          <w:szCs w:val="24"/>
        </w:rPr>
      </w:pPr>
      <w:r w:rsidRPr="005A7BE6">
        <w:rPr>
          <w:rFonts w:ascii="Times New Roman" w:hAnsi="Times New Roman" w:cs="Times New Roman"/>
          <w:sz w:val="24"/>
          <w:szCs w:val="24"/>
        </w:rPr>
        <w:t xml:space="preserve">Оценка финансовой устойчивости и платежеспособности российских компаний // Электронный журнал «Финансовый менеджмент». Режим доступа: </w:t>
      </w:r>
      <w:r w:rsidRPr="005A7BE6">
        <w:rPr>
          <w:rFonts w:ascii="Times New Roman" w:hAnsi="Times New Roman" w:cs="Times New Roman"/>
          <w:sz w:val="24"/>
          <w:szCs w:val="24"/>
          <w:lang w:val="en-US"/>
        </w:rPr>
        <w:t>http</w:t>
      </w:r>
      <w:r w:rsidRPr="005A7BE6">
        <w:rPr>
          <w:rFonts w:ascii="Times New Roman" w:hAnsi="Times New Roman" w:cs="Times New Roman"/>
          <w:sz w:val="24"/>
          <w:szCs w:val="24"/>
        </w:rPr>
        <w:t>://</w:t>
      </w:r>
      <w:r w:rsidRPr="005A7BE6">
        <w:rPr>
          <w:rFonts w:ascii="Times New Roman" w:hAnsi="Times New Roman" w:cs="Times New Roman"/>
          <w:sz w:val="24"/>
          <w:szCs w:val="24"/>
          <w:lang w:val="en-US"/>
        </w:rPr>
        <w:t>www</w:t>
      </w:r>
      <w:r w:rsidRPr="005A7BE6">
        <w:rPr>
          <w:rFonts w:ascii="Times New Roman" w:hAnsi="Times New Roman" w:cs="Times New Roman"/>
          <w:sz w:val="24"/>
          <w:szCs w:val="24"/>
        </w:rPr>
        <w:t>.</w:t>
      </w:r>
      <w:proofErr w:type="spellStart"/>
      <w:r w:rsidRPr="005A7BE6">
        <w:rPr>
          <w:rFonts w:ascii="Times New Roman" w:hAnsi="Times New Roman" w:cs="Times New Roman"/>
          <w:sz w:val="24"/>
          <w:szCs w:val="24"/>
          <w:lang w:val="en-US"/>
        </w:rPr>
        <w:t>finman</w:t>
      </w:r>
      <w:proofErr w:type="spellEnd"/>
      <w:r w:rsidRPr="005A7BE6">
        <w:rPr>
          <w:rFonts w:ascii="Times New Roman" w:hAnsi="Times New Roman" w:cs="Times New Roman"/>
          <w:sz w:val="24"/>
          <w:szCs w:val="24"/>
        </w:rPr>
        <w:t>.</w:t>
      </w:r>
      <w:proofErr w:type="spellStart"/>
      <w:r w:rsidRPr="005A7BE6">
        <w:rPr>
          <w:rFonts w:ascii="Times New Roman" w:hAnsi="Times New Roman" w:cs="Times New Roman"/>
          <w:sz w:val="24"/>
          <w:szCs w:val="24"/>
          <w:lang w:val="en-US"/>
        </w:rPr>
        <w:t>ru</w:t>
      </w:r>
      <w:proofErr w:type="spellEnd"/>
      <w:r w:rsidRPr="005A7BE6">
        <w:rPr>
          <w:rFonts w:ascii="Times New Roman" w:hAnsi="Times New Roman" w:cs="Times New Roman"/>
          <w:sz w:val="24"/>
          <w:szCs w:val="24"/>
        </w:rPr>
        <w:t>/</w:t>
      </w:r>
      <w:r w:rsidRPr="005A7BE6">
        <w:rPr>
          <w:rFonts w:ascii="Times New Roman" w:hAnsi="Times New Roman" w:cs="Times New Roman"/>
          <w:sz w:val="24"/>
          <w:szCs w:val="24"/>
          <w:lang w:val="en-US"/>
        </w:rPr>
        <w:t>articles</w:t>
      </w:r>
      <w:r w:rsidRPr="005A7BE6">
        <w:rPr>
          <w:rFonts w:ascii="Times New Roman" w:hAnsi="Times New Roman" w:cs="Times New Roman"/>
          <w:sz w:val="24"/>
          <w:szCs w:val="24"/>
        </w:rPr>
        <w:t>/2017/6/4563.</w:t>
      </w:r>
      <w:r w:rsidRPr="005A7BE6">
        <w:rPr>
          <w:rFonts w:ascii="Times New Roman" w:hAnsi="Times New Roman" w:cs="Times New Roman"/>
          <w:sz w:val="24"/>
          <w:szCs w:val="24"/>
          <w:lang w:val="en-US"/>
        </w:rPr>
        <w:t>html</w:t>
      </w:r>
    </w:p>
    <w:p w:rsidR="00617F72" w:rsidRPr="005A7BE6" w:rsidRDefault="00617F72" w:rsidP="005A7BE6">
      <w:pPr>
        <w:pStyle w:val="a8"/>
        <w:numPr>
          <w:ilvl w:val="0"/>
          <w:numId w:val="2"/>
        </w:numPr>
        <w:ind w:left="1066" w:hanging="357"/>
        <w:jc w:val="both"/>
        <w:rPr>
          <w:rFonts w:ascii="Times New Roman" w:hAnsi="Times New Roman" w:cs="Times New Roman"/>
          <w:sz w:val="24"/>
          <w:szCs w:val="24"/>
        </w:rPr>
      </w:pPr>
      <w:r w:rsidRPr="005A7BE6">
        <w:rPr>
          <w:rFonts w:ascii="Times New Roman" w:hAnsi="Times New Roman" w:cs="Times New Roman"/>
          <w:sz w:val="24"/>
          <w:szCs w:val="24"/>
        </w:rPr>
        <w:t xml:space="preserve"> Приказ Министерства экономики Российской Федерации от 1 октября 1997 г. № 118 «Об утверждении Методических рекомендаций по реформе предприятий (организаций)».</w:t>
      </w:r>
    </w:p>
    <w:p w:rsidR="00617F72" w:rsidRPr="005A7BE6" w:rsidRDefault="004F2ADC" w:rsidP="005A7BE6">
      <w:pPr>
        <w:pStyle w:val="a8"/>
        <w:numPr>
          <w:ilvl w:val="0"/>
          <w:numId w:val="2"/>
        </w:numPr>
        <w:ind w:left="1066" w:hanging="357"/>
        <w:jc w:val="both"/>
        <w:rPr>
          <w:sz w:val="24"/>
          <w:szCs w:val="24"/>
        </w:rPr>
      </w:pPr>
      <w:r>
        <w:rPr>
          <w:rFonts w:ascii="Times New Roman" w:hAnsi="Times New Roman" w:cs="Times New Roman"/>
          <w:sz w:val="24"/>
          <w:szCs w:val="24"/>
        </w:rPr>
        <w:t>П</w:t>
      </w:r>
      <w:r w:rsidR="00617F72" w:rsidRPr="005A7BE6">
        <w:rPr>
          <w:rFonts w:ascii="Times New Roman" w:hAnsi="Times New Roman" w:cs="Times New Roman"/>
          <w:sz w:val="24"/>
          <w:szCs w:val="24"/>
        </w:rPr>
        <w:t>остановление Правительства РФ от 20.05.1994 № 498 «О некоторых мерах по реализации законодательства о несостоятельности (банкротства) предприятий»</w:t>
      </w:r>
    </w:p>
    <w:p w:rsidR="00617F72" w:rsidRPr="005A7BE6" w:rsidRDefault="004F2ADC" w:rsidP="005A7BE6">
      <w:pPr>
        <w:pStyle w:val="a8"/>
        <w:numPr>
          <w:ilvl w:val="0"/>
          <w:numId w:val="2"/>
        </w:numPr>
        <w:ind w:left="1066" w:hanging="357"/>
        <w:jc w:val="both"/>
        <w:rPr>
          <w:sz w:val="24"/>
          <w:szCs w:val="24"/>
        </w:rPr>
      </w:pPr>
      <w:r>
        <w:rPr>
          <w:rFonts w:ascii="Times New Roman" w:hAnsi="Times New Roman" w:cs="Times New Roman"/>
          <w:sz w:val="24"/>
          <w:szCs w:val="24"/>
        </w:rPr>
        <w:lastRenderedPageBreak/>
        <w:t>П</w:t>
      </w:r>
      <w:r w:rsidR="00617F72" w:rsidRPr="005A7BE6">
        <w:rPr>
          <w:rFonts w:ascii="Times New Roman" w:hAnsi="Times New Roman" w:cs="Times New Roman"/>
          <w:sz w:val="24"/>
          <w:szCs w:val="24"/>
        </w:rPr>
        <w:t xml:space="preserve">остановление Правительства РФ от 21.04.2006 № 233 «О нормативах оценки финансовой устойчивости деятельности предприятия»; </w:t>
      </w:r>
    </w:p>
    <w:p w:rsidR="00617F72" w:rsidRPr="005A7BE6" w:rsidRDefault="00617F72" w:rsidP="005A7BE6">
      <w:pPr>
        <w:pStyle w:val="a8"/>
        <w:numPr>
          <w:ilvl w:val="0"/>
          <w:numId w:val="2"/>
        </w:numPr>
        <w:ind w:left="1066" w:hanging="357"/>
        <w:jc w:val="both"/>
        <w:rPr>
          <w:sz w:val="24"/>
          <w:szCs w:val="24"/>
        </w:rPr>
      </w:pPr>
      <w:r w:rsidRPr="005A7BE6">
        <w:rPr>
          <w:rFonts w:ascii="Times New Roman" w:hAnsi="Times New Roman" w:cs="Times New Roman"/>
          <w:sz w:val="24"/>
          <w:szCs w:val="24"/>
        </w:rPr>
        <w:t xml:space="preserve">Указание Банка России от 3 апреля 2017 г. № 4336-У «Об оценке экономического положения банков»; </w:t>
      </w:r>
    </w:p>
    <w:p w:rsidR="00617F72" w:rsidRPr="005A7BE6" w:rsidRDefault="004F2ADC" w:rsidP="005A7BE6">
      <w:pPr>
        <w:pStyle w:val="a8"/>
        <w:numPr>
          <w:ilvl w:val="0"/>
          <w:numId w:val="2"/>
        </w:numPr>
        <w:ind w:left="1066" w:hanging="357"/>
        <w:jc w:val="both"/>
        <w:rPr>
          <w:sz w:val="24"/>
          <w:szCs w:val="24"/>
        </w:rPr>
      </w:pPr>
      <w:r>
        <w:rPr>
          <w:rFonts w:ascii="Times New Roman" w:hAnsi="Times New Roman" w:cs="Times New Roman"/>
          <w:sz w:val="24"/>
          <w:szCs w:val="24"/>
        </w:rPr>
        <w:t>П</w:t>
      </w:r>
      <w:r w:rsidR="00617F72" w:rsidRPr="005A7BE6">
        <w:rPr>
          <w:rFonts w:ascii="Times New Roman" w:hAnsi="Times New Roman" w:cs="Times New Roman"/>
          <w:sz w:val="24"/>
          <w:szCs w:val="24"/>
        </w:rPr>
        <w:t>остановление Правительства РФ от 26.12.2018 № 1683 «О нормативах финансовой устойчивости деятельности застройщика».</w:t>
      </w:r>
    </w:p>
    <w:p w:rsidR="005A7BE6" w:rsidRPr="005A7BE6" w:rsidRDefault="005A7BE6" w:rsidP="005A7BE6">
      <w:pPr>
        <w:pStyle w:val="a8"/>
        <w:numPr>
          <w:ilvl w:val="0"/>
          <w:numId w:val="2"/>
        </w:numPr>
        <w:ind w:left="1066" w:hanging="357"/>
        <w:jc w:val="both"/>
        <w:rPr>
          <w:rFonts w:ascii="Times New Roman" w:hAnsi="Times New Roman" w:cs="Times New Roman"/>
          <w:sz w:val="24"/>
          <w:szCs w:val="24"/>
        </w:rPr>
      </w:pPr>
      <w:r w:rsidRPr="005A7BE6">
        <w:rPr>
          <w:rFonts w:ascii="Times New Roman" w:hAnsi="Times New Roman" w:cs="Times New Roman"/>
          <w:sz w:val="24"/>
          <w:szCs w:val="24"/>
        </w:rPr>
        <w:t xml:space="preserve"> </w:t>
      </w:r>
      <w:r w:rsidR="004F2ADC">
        <w:rPr>
          <w:rFonts w:ascii="Times New Roman" w:hAnsi="Times New Roman" w:cs="Times New Roman"/>
          <w:sz w:val="24"/>
          <w:szCs w:val="24"/>
        </w:rPr>
        <w:t>П</w:t>
      </w:r>
      <w:r w:rsidRPr="005A7BE6">
        <w:rPr>
          <w:rFonts w:ascii="Times New Roman" w:hAnsi="Times New Roman" w:cs="Times New Roman"/>
          <w:sz w:val="24"/>
          <w:szCs w:val="24"/>
        </w:rPr>
        <w:t>риказ Министерства экономического развития Российской Федерации от 7 апреля 2020 г. № 207 «Об утверждении Порядка проведения мониторинга финансово-экономического состояния системообразующих организаций российской экономики».</w:t>
      </w:r>
    </w:p>
    <w:p w:rsidR="005A7BE6" w:rsidRPr="005A7BE6" w:rsidRDefault="005A7BE6" w:rsidP="005A7BE6">
      <w:pPr>
        <w:pStyle w:val="a8"/>
        <w:numPr>
          <w:ilvl w:val="0"/>
          <w:numId w:val="2"/>
        </w:numPr>
        <w:ind w:left="1066" w:hanging="357"/>
        <w:jc w:val="both"/>
        <w:rPr>
          <w:rFonts w:ascii="Times New Roman" w:hAnsi="Times New Roman" w:cs="Times New Roman"/>
          <w:sz w:val="24"/>
          <w:szCs w:val="24"/>
        </w:rPr>
      </w:pPr>
      <w:r w:rsidRPr="005A7BE6">
        <w:rPr>
          <w:rFonts w:ascii="Times New Roman" w:hAnsi="Times New Roman" w:cs="Times New Roman"/>
          <w:sz w:val="24"/>
          <w:szCs w:val="24"/>
        </w:rPr>
        <w:t xml:space="preserve"> Постановление Правительства Российской Федерации от 2 апреля 2020 г. № 409 «О мерах по обеспечению устойчивого развития экономики», </w:t>
      </w:r>
    </w:p>
    <w:p w:rsidR="005A7BE6" w:rsidRPr="005A7BE6" w:rsidRDefault="005A7BE6" w:rsidP="005A7BE6">
      <w:pPr>
        <w:pStyle w:val="a8"/>
        <w:numPr>
          <w:ilvl w:val="0"/>
          <w:numId w:val="2"/>
        </w:numPr>
        <w:ind w:left="1066" w:hanging="357"/>
        <w:jc w:val="both"/>
        <w:rPr>
          <w:rFonts w:ascii="Times New Roman" w:hAnsi="Times New Roman" w:cs="Times New Roman"/>
          <w:sz w:val="24"/>
          <w:szCs w:val="24"/>
        </w:rPr>
      </w:pPr>
      <w:r w:rsidRPr="005A7BE6">
        <w:rPr>
          <w:rFonts w:ascii="Times New Roman" w:hAnsi="Times New Roman" w:cs="Times New Roman"/>
          <w:sz w:val="24"/>
          <w:szCs w:val="24"/>
        </w:rPr>
        <w:t xml:space="preserve"> </w:t>
      </w:r>
      <w:r w:rsidR="004F2ADC">
        <w:rPr>
          <w:rFonts w:ascii="Times New Roman" w:hAnsi="Times New Roman" w:cs="Times New Roman"/>
          <w:sz w:val="24"/>
          <w:szCs w:val="24"/>
        </w:rPr>
        <w:t>П</w:t>
      </w:r>
      <w:r w:rsidRPr="005A7BE6">
        <w:rPr>
          <w:rFonts w:ascii="Times New Roman" w:hAnsi="Times New Roman" w:cs="Times New Roman"/>
          <w:sz w:val="24"/>
          <w:szCs w:val="24"/>
        </w:rPr>
        <w:t xml:space="preserve">остановление Правительства Российской Федерации от 3 апреля 2020 г.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5A7BE6">
        <w:rPr>
          <w:rFonts w:ascii="Times New Roman" w:hAnsi="Times New Roman" w:cs="Times New Roman"/>
          <w:sz w:val="24"/>
          <w:szCs w:val="24"/>
        </w:rPr>
        <w:t>коронавирусной</w:t>
      </w:r>
      <w:proofErr w:type="spellEnd"/>
      <w:r w:rsidRPr="005A7BE6">
        <w:rPr>
          <w:rFonts w:ascii="Times New Roman" w:hAnsi="Times New Roman" w:cs="Times New Roman"/>
          <w:sz w:val="24"/>
          <w:szCs w:val="24"/>
        </w:rPr>
        <w:t xml:space="preserve"> инфекции», </w:t>
      </w:r>
    </w:p>
    <w:p w:rsidR="00617F72" w:rsidRPr="005A7BE6" w:rsidRDefault="005A7BE6" w:rsidP="005A7BE6">
      <w:pPr>
        <w:pStyle w:val="a8"/>
        <w:numPr>
          <w:ilvl w:val="0"/>
          <w:numId w:val="2"/>
        </w:numPr>
        <w:ind w:left="1066" w:hanging="357"/>
        <w:jc w:val="both"/>
        <w:rPr>
          <w:rFonts w:ascii="Times New Roman" w:hAnsi="Times New Roman" w:cs="Times New Roman"/>
          <w:sz w:val="24"/>
          <w:szCs w:val="24"/>
        </w:rPr>
      </w:pPr>
      <w:r w:rsidRPr="005A7BE6">
        <w:rPr>
          <w:rFonts w:ascii="Times New Roman" w:hAnsi="Times New Roman" w:cs="Times New Roman"/>
          <w:sz w:val="24"/>
          <w:szCs w:val="24"/>
        </w:rPr>
        <w:t xml:space="preserve"> </w:t>
      </w:r>
      <w:r w:rsidR="004F2ADC">
        <w:rPr>
          <w:rFonts w:ascii="Times New Roman" w:hAnsi="Times New Roman" w:cs="Times New Roman"/>
          <w:sz w:val="24"/>
          <w:szCs w:val="24"/>
        </w:rPr>
        <w:t>П</w:t>
      </w:r>
      <w:r w:rsidRPr="005A7BE6">
        <w:rPr>
          <w:rFonts w:ascii="Times New Roman" w:hAnsi="Times New Roman" w:cs="Times New Roman"/>
          <w:sz w:val="24"/>
          <w:szCs w:val="24"/>
        </w:rPr>
        <w:t>остановление Правительства Российской Федерации от 10 мая 2020 г. № 651 «О мерах поддержки системообразующих организаций».</w:t>
      </w:r>
    </w:p>
    <w:p w:rsidR="005A7BE6" w:rsidRPr="005A7BE6" w:rsidRDefault="005A7BE6" w:rsidP="005A7BE6">
      <w:pPr>
        <w:pStyle w:val="a8"/>
        <w:numPr>
          <w:ilvl w:val="0"/>
          <w:numId w:val="2"/>
        </w:numPr>
        <w:ind w:left="1066" w:hanging="357"/>
        <w:jc w:val="both"/>
        <w:rPr>
          <w:rFonts w:ascii="Times New Roman" w:hAnsi="Times New Roman" w:cs="Times New Roman"/>
          <w:sz w:val="24"/>
          <w:szCs w:val="24"/>
        </w:rPr>
      </w:pPr>
      <w:r w:rsidRPr="005A7BE6">
        <w:rPr>
          <w:rFonts w:ascii="Times New Roman" w:hAnsi="Times New Roman" w:cs="Times New Roman"/>
          <w:sz w:val="24"/>
          <w:szCs w:val="24"/>
        </w:rPr>
        <w:t>Приказ Министерства экономического развития Российской Федерации от 13 мая 2020 г. № 276 «Об утверждении Порядка проведения оценки финансовой устойчивости (стресс-теста) системообразующих организаций российской экономики, претендующих на предоставление в 2020 г. мер государственной поддержки».</w:t>
      </w:r>
    </w:p>
    <w:p w:rsidR="005A7BE6" w:rsidRPr="005A7BE6" w:rsidRDefault="005A7BE6" w:rsidP="005A7BE6">
      <w:pPr>
        <w:pStyle w:val="a8"/>
        <w:numPr>
          <w:ilvl w:val="0"/>
          <w:numId w:val="2"/>
        </w:numPr>
        <w:ind w:left="1066" w:hanging="357"/>
        <w:jc w:val="both"/>
        <w:rPr>
          <w:rFonts w:ascii="Times New Roman" w:hAnsi="Times New Roman" w:cs="Times New Roman"/>
          <w:sz w:val="24"/>
          <w:szCs w:val="24"/>
        </w:rPr>
      </w:pPr>
      <w:r w:rsidRPr="005A7BE6">
        <w:rPr>
          <w:rFonts w:ascii="Times New Roman" w:hAnsi="Times New Roman" w:cs="Times New Roman"/>
          <w:sz w:val="24"/>
          <w:szCs w:val="24"/>
        </w:rPr>
        <w:t xml:space="preserve">Национальная оценка рисков легализации (отмывания) преступных доходов / Публичный отчет. М.: </w:t>
      </w:r>
      <w:proofErr w:type="spellStart"/>
      <w:r w:rsidRPr="005A7BE6">
        <w:rPr>
          <w:rFonts w:ascii="Times New Roman" w:hAnsi="Times New Roman" w:cs="Times New Roman"/>
          <w:sz w:val="24"/>
          <w:szCs w:val="24"/>
        </w:rPr>
        <w:t>Росфинмониторинг</w:t>
      </w:r>
      <w:proofErr w:type="spellEnd"/>
      <w:r w:rsidRPr="005A7BE6">
        <w:rPr>
          <w:rFonts w:ascii="Times New Roman" w:hAnsi="Times New Roman" w:cs="Times New Roman"/>
          <w:sz w:val="24"/>
          <w:szCs w:val="24"/>
        </w:rPr>
        <w:t>, 2018.</w:t>
      </w:r>
    </w:p>
    <w:p w:rsidR="005A7BE6" w:rsidRPr="005A7BE6" w:rsidRDefault="005A7BE6" w:rsidP="005A7BE6">
      <w:pPr>
        <w:pStyle w:val="a8"/>
        <w:numPr>
          <w:ilvl w:val="0"/>
          <w:numId w:val="2"/>
        </w:numPr>
        <w:ind w:left="1066" w:hanging="357"/>
        <w:jc w:val="both"/>
        <w:rPr>
          <w:rFonts w:ascii="Times New Roman" w:hAnsi="Times New Roman" w:cs="Times New Roman"/>
          <w:sz w:val="24"/>
          <w:szCs w:val="24"/>
        </w:rPr>
      </w:pPr>
      <w:r w:rsidRPr="005A7BE6">
        <w:rPr>
          <w:rFonts w:ascii="Times New Roman" w:hAnsi="Times New Roman" w:cs="Times New Roman"/>
          <w:sz w:val="24"/>
          <w:szCs w:val="24"/>
        </w:rPr>
        <w:t xml:space="preserve">Приказ Министерства финансов Российской Федерации от 28.12.2015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w:t>
      </w:r>
      <w:proofErr w:type="gramStart"/>
      <w:r w:rsidRPr="005A7BE6">
        <w:rPr>
          <w:rFonts w:ascii="Times New Roman" w:hAnsi="Times New Roman" w:cs="Times New Roman"/>
          <w:sz w:val="24"/>
          <w:szCs w:val="24"/>
        </w:rPr>
        <w:t>утратившими</w:t>
      </w:r>
      <w:proofErr w:type="gramEnd"/>
      <w:r w:rsidRPr="005A7BE6">
        <w:rPr>
          <w:rFonts w:ascii="Times New Roman" w:hAnsi="Times New Roman" w:cs="Times New Roman"/>
          <w:sz w:val="24"/>
          <w:szCs w:val="24"/>
        </w:rPr>
        <w:t xml:space="preserve"> силу  некоторых приказов (отдельных положений приказов) Министерства финансов Российской Федерации».</w:t>
      </w:r>
    </w:p>
    <w:p w:rsidR="005A7BE6" w:rsidRPr="005A7BE6" w:rsidRDefault="005A7BE6" w:rsidP="005A7BE6">
      <w:pPr>
        <w:pStyle w:val="a8"/>
        <w:numPr>
          <w:ilvl w:val="0"/>
          <w:numId w:val="2"/>
        </w:numPr>
        <w:ind w:left="1066" w:hanging="357"/>
        <w:jc w:val="both"/>
        <w:rPr>
          <w:rFonts w:ascii="Times New Roman" w:hAnsi="Times New Roman" w:cs="Times New Roman"/>
          <w:sz w:val="24"/>
          <w:szCs w:val="24"/>
        </w:rPr>
      </w:pPr>
      <w:r w:rsidRPr="005A7BE6">
        <w:rPr>
          <w:rFonts w:ascii="Times New Roman" w:hAnsi="Times New Roman" w:cs="Times New Roman"/>
          <w:sz w:val="24"/>
          <w:szCs w:val="24"/>
        </w:rPr>
        <w:t xml:space="preserve"> Постановление Правительства Российской Федерации от 2 декабря 2017 г. № 1465 «О государственном регулировании цен на 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Российской Федерации».</w:t>
      </w:r>
    </w:p>
    <w:p w:rsidR="00617F72" w:rsidRDefault="00617F72" w:rsidP="00B31415">
      <w:pPr>
        <w:spacing w:after="0" w:line="300" w:lineRule="auto"/>
        <w:jc w:val="both"/>
        <w:rPr>
          <w:rFonts w:ascii="Times New Roman" w:hAnsi="Times New Roman" w:cs="Times New Roman"/>
          <w:sz w:val="28"/>
          <w:szCs w:val="28"/>
        </w:rPr>
      </w:pPr>
    </w:p>
    <w:p w:rsidR="00A83C49" w:rsidRPr="00A83C49" w:rsidRDefault="00A83C49" w:rsidP="00A83C49">
      <w:pPr>
        <w:spacing w:after="0" w:line="300" w:lineRule="auto"/>
        <w:ind w:firstLine="709"/>
        <w:jc w:val="both"/>
        <w:rPr>
          <w:rFonts w:ascii="Times New Roman" w:eastAsia="Calibri" w:hAnsi="Times New Roman" w:cs="Times New Roman"/>
          <w:b/>
          <w:szCs w:val="28"/>
        </w:rPr>
      </w:pPr>
      <w:r w:rsidRPr="00A83C49">
        <w:rPr>
          <w:rFonts w:ascii="Times New Roman" w:eastAsia="Calibri" w:hAnsi="Times New Roman" w:cs="Times New Roman"/>
          <w:szCs w:val="28"/>
          <w:u w:val="single"/>
        </w:rPr>
        <w:t>Источник опубликования:</w:t>
      </w:r>
      <w:r>
        <w:rPr>
          <w:rFonts w:ascii="Times New Roman" w:eastAsia="Calibri" w:hAnsi="Times New Roman" w:cs="Times New Roman"/>
          <w:i/>
          <w:szCs w:val="28"/>
        </w:rPr>
        <w:t xml:space="preserve"> </w:t>
      </w:r>
      <w:r w:rsidRPr="00A83C49">
        <w:rPr>
          <w:rFonts w:ascii="Times New Roman" w:eastAsia="Calibri" w:hAnsi="Times New Roman" w:cs="Times New Roman"/>
          <w:i/>
          <w:szCs w:val="28"/>
        </w:rPr>
        <w:t>Красинский В.В.</w:t>
      </w:r>
      <w:r w:rsidRPr="00A83C49">
        <w:rPr>
          <w:rFonts w:ascii="Times New Roman" w:eastAsia="Calibri" w:hAnsi="Times New Roman" w:cs="Times New Roman"/>
          <w:szCs w:val="28"/>
        </w:rPr>
        <w:t xml:space="preserve"> Российские и международные методики оценки финансовой устойчивости </w:t>
      </w:r>
      <w:proofErr w:type="spellStart"/>
      <w:r w:rsidRPr="00A83C49">
        <w:rPr>
          <w:rFonts w:ascii="Times New Roman" w:eastAsia="Calibri" w:hAnsi="Times New Roman" w:cs="Times New Roman"/>
          <w:szCs w:val="28"/>
        </w:rPr>
        <w:t>системообразующих</w:t>
      </w:r>
      <w:proofErr w:type="spellEnd"/>
      <w:r w:rsidRPr="00A83C49">
        <w:rPr>
          <w:rFonts w:ascii="Times New Roman" w:eastAsia="Calibri" w:hAnsi="Times New Roman" w:cs="Times New Roman"/>
          <w:szCs w:val="28"/>
        </w:rPr>
        <w:t xml:space="preserve"> организаций и стратегических обществ // Современное право. 2021. № 11. С. 50-61. </w:t>
      </w:r>
      <w:r w:rsidRPr="00A83C49">
        <w:rPr>
          <w:rFonts w:ascii="Times New Roman" w:eastAsia="Calibri" w:hAnsi="Times New Roman" w:cs="Times New Roman"/>
          <w:b/>
          <w:szCs w:val="28"/>
          <w:lang w:val="en-US"/>
        </w:rPr>
        <w:t>DOI</w:t>
      </w:r>
      <w:r w:rsidRPr="00A83C49">
        <w:rPr>
          <w:rFonts w:ascii="Times New Roman" w:eastAsia="Calibri" w:hAnsi="Times New Roman" w:cs="Times New Roman"/>
          <w:b/>
          <w:bCs/>
          <w:szCs w:val="28"/>
        </w:rPr>
        <w:t xml:space="preserve"> </w:t>
      </w:r>
      <w:r w:rsidRPr="00A83C49">
        <w:rPr>
          <w:rFonts w:ascii="Times New Roman" w:eastAsia="Calibri" w:hAnsi="Times New Roman" w:cs="Times New Roman"/>
          <w:b/>
          <w:szCs w:val="28"/>
        </w:rPr>
        <w:t>10.25799/</w:t>
      </w:r>
      <w:r w:rsidRPr="00A83C49">
        <w:rPr>
          <w:rFonts w:ascii="Times New Roman" w:eastAsia="Calibri" w:hAnsi="Times New Roman" w:cs="Times New Roman"/>
          <w:b/>
          <w:szCs w:val="28"/>
          <w:lang w:val="en-US"/>
        </w:rPr>
        <w:t>NI</w:t>
      </w:r>
      <w:r w:rsidRPr="00A83C49">
        <w:rPr>
          <w:rFonts w:ascii="Times New Roman" w:eastAsia="Calibri" w:hAnsi="Times New Roman" w:cs="Times New Roman"/>
          <w:b/>
          <w:szCs w:val="28"/>
        </w:rPr>
        <w:t>.2021.90.92.010</w:t>
      </w:r>
    </w:p>
    <w:p w:rsidR="00A83C49" w:rsidRPr="00617F72" w:rsidRDefault="00A83C49" w:rsidP="00B31415">
      <w:pPr>
        <w:spacing w:after="0" w:line="300" w:lineRule="auto"/>
        <w:jc w:val="both"/>
        <w:rPr>
          <w:rFonts w:ascii="Times New Roman" w:hAnsi="Times New Roman" w:cs="Times New Roman"/>
          <w:sz w:val="28"/>
          <w:szCs w:val="28"/>
        </w:rPr>
      </w:pPr>
    </w:p>
    <w:sectPr w:rsidR="00A83C49" w:rsidRPr="00617F72" w:rsidSect="00504115">
      <w:headerReference w:type="default" r:id="rId9"/>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A98" w:rsidRDefault="006F3A98" w:rsidP="00504115">
      <w:pPr>
        <w:spacing w:after="0" w:line="240" w:lineRule="auto"/>
      </w:pPr>
      <w:r>
        <w:separator/>
      </w:r>
    </w:p>
  </w:endnote>
  <w:endnote w:type="continuationSeparator" w:id="0">
    <w:p w:rsidR="006F3A98" w:rsidRDefault="006F3A98" w:rsidP="00504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A98" w:rsidRDefault="006F3A98" w:rsidP="00504115">
      <w:pPr>
        <w:spacing w:after="0" w:line="240" w:lineRule="auto"/>
      </w:pPr>
      <w:r>
        <w:separator/>
      </w:r>
    </w:p>
  </w:footnote>
  <w:footnote w:type="continuationSeparator" w:id="0">
    <w:p w:rsidR="006F3A98" w:rsidRDefault="006F3A98" w:rsidP="00504115">
      <w:pPr>
        <w:spacing w:after="0" w:line="240" w:lineRule="auto"/>
      </w:pPr>
      <w:r>
        <w:continuationSeparator/>
      </w:r>
    </w:p>
  </w:footnote>
  <w:footnote w:id="1">
    <w:p w:rsidR="00B47459" w:rsidRPr="006E2081" w:rsidRDefault="00B47459" w:rsidP="00BF7466">
      <w:pPr>
        <w:pStyle w:val="a8"/>
        <w:ind w:firstLine="709"/>
        <w:jc w:val="both"/>
        <w:rPr>
          <w:rFonts w:ascii="Times New Roman" w:hAnsi="Times New Roman" w:cs="Times New Roman"/>
          <w:sz w:val="24"/>
          <w:szCs w:val="24"/>
          <w:lang w:val="en-US"/>
        </w:rPr>
      </w:pPr>
      <w:r w:rsidRPr="003F3C91">
        <w:rPr>
          <w:rStyle w:val="aa"/>
          <w:rFonts w:ascii="Times New Roman" w:hAnsi="Times New Roman" w:cs="Times New Roman"/>
          <w:sz w:val="24"/>
          <w:szCs w:val="24"/>
        </w:rPr>
        <w:footnoteRef/>
      </w:r>
      <w:r w:rsidRPr="003F3C91">
        <w:rPr>
          <w:rFonts w:ascii="Times New Roman" w:hAnsi="Times New Roman" w:cs="Times New Roman"/>
          <w:sz w:val="24"/>
          <w:szCs w:val="24"/>
          <w:lang w:val="en-US"/>
        </w:rPr>
        <w:t xml:space="preserve"> </w:t>
      </w:r>
      <w:r w:rsidR="003F3C91" w:rsidRPr="003F3C91">
        <w:rPr>
          <w:rFonts w:ascii="Times New Roman" w:hAnsi="Times New Roman" w:cs="Times New Roman"/>
          <w:i/>
          <w:sz w:val="24"/>
          <w:szCs w:val="24"/>
          <w:lang w:val="en-US"/>
        </w:rPr>
        <w:t xml:space="preserve">Magdalena </w:t>
      </w:r>
      <w:proofErr w:type="spellStart"/>
      <w:r w:rsidR="003F3C91" w:rsidRPr="003F3C91">
        <w:rPr>
          <w:rFonts w:ascii="Times New Roman" w:hAnsi="Times New Roman" w:cs="Times New Roman"/>
          <w:i/>
          <w:sz w:val="24"/>
          <w:szCs w:val="24"/>
          <w:lang w:val="en-US"/>
        </w:rPr>
        <w:t>Ziolo</w:t>
      </w:r>
      <w:proofErr w:type="spellEnd"/>
      <w:r w:rsidR="003F3C91" w:rsidRPr="003F3C91">
        <w:rPr>
          <w:rFonts w:ascii="Times New Roman" w:hAnsi="Times New Roman" w:cs="Times New Roman"/>
          <w:i/>
          <w:sz w:val="24"/>
          <w:szCs w:val="24"/>
          <w:lang w:val="en-US"/>
        </w:rPr>
        <w:t xml:space="preserve">, </w:t>
      </w:r>
      <w:proofErr w:type="spellStart"/>
      <w:r w:rsidR="003F3C91" w:rsidRPr="003F3C91">
        <w:rPr>
          <w:rFonts w:ascii="Times New Roman" w:hAnsi="Times New Roman" w:cs="Times New Roman"/>
          <w:i/>
          <w:sz w:val="24"/>
          <w:szCs w:val="24"/>
          <w:lang w:val="en-US"/>
        </w:rPr>
        <w:t>Beata</w:t>
      </w:r>
      <w:proofErr w:type="spellEnd"/>
      <w:r w:rsidR="003F3C91" w:rsidRPr="003F3C91">
        <w:rPr>
          <w:rFonts w:ascii="Times New Roman" w:hAnsi="Times New Roman" w:cs="Times New Roman"/>
          <w:i/>
          <w:sz w:val="24"/>
          <w:szCs w:val="24"/>
          <w:lang w:val="en-US"/>
        </w:rPr>
        <w:t xml:space="preserve"> </w:t>
      </w:r>
      <w:proofErr w:type="spellStart"/>
      <w:r w:rsidR="003F3C91" w:rsidRPr="003F3C91">
        <w:rPr>
          <w:rFonts w:ascii="Times New Roman" w:hAnsi="Times New Roman" w:cs="Times New Roman"/>
          <w:i/>
          <w:sz w:val="24"/>
          <w:szCs w:val="24"/>
          <w:lang w:val="en-US"/>
        </w:rPr>
        <w:t>Filipiak</w:t>
      </w:r>
      <w:proofErr w:type="spellEnd"/>
      <w:r w:rsidR="003F3C91" w:rsidRPr="003F3C91">
        <w:rPr>
          <w:rFonts w:ascii="Times New Roman" w:hAnsi="Times New Roman" w:cs="Times New Roman"/>
          <w:i/>
          <w:sz w:val="24"/>
          <w:szCs w:val="24"/>
          <w:lang w:val="en-US"/>
        </w:rPr>
        <w:t xml:space="preserve">, </w:t>
      </w:r>
      <w:proofErr w:type="spellStart"/>
      <w:r w:rsidR="003F3C91" w:rsidRPr="003F3C91">
        <w:rPr>
          <w:rFonts w:ascii="Times New Roman" w:hAnsi="Times New Roman" w:cs="Times New Roman"/>
          <w:i/>
          <w:sz w:val="24"/>
          <w:szCs w:val="24"/>
          <w:lang w:val="en-US"/>
        </w:rPr>
        <w:t>Iwona</w:t>
      </w:r>
      <w:proofErr w:type="spellEnd"/>
      <w:r w:rsidR="003F3C91" w:rsidRPr="003F3C91">
        <w:rPr>
          <w:rFonts w:ascii="Times New Roman" w:hAnsi="Times New Roman" w:cs="Times New Roman"/>
          <w:i/>
          <w:sz w:val="24"/>
          <w:szCs w:val="24"/>
          <w:lang w:val="en-US"/>
        </w:rPr>
        <w:t xml:space="preserve"> </w:t>
      </w:r>
      <w:proofErr w:type="spellStart"/>
      <w:r w:rsidR="003F3C91" w:rsidRPr="003F3C91">
        <w:rPr>
          <w:rFonts w:ascii="Times New Roman" w:hAnsi="Times New Roman" w:cs="Times New Roman"/>
          <w:i/>
          <w:sz w:val="24"/>
          <w:szCs w:val="24"/>
          <w:lang w:val="en-US"/>
        </w:rPr>
        <w:t>Bak</w:t>
      </w:r>
      <w:proofErr w:type="spellEnd"/>
      <w:r w:rsidR="003F3C91" w:rsidRPr="003F3C91">
        <w:rPr>
          <w:rFonts w:ascii="Times New Roman" w:hAnsi="Times New Roman" w:cs="Times New Roman"/>
          <w:i/>
          <w:sz w:val="24"/>
          <w:szCs w:val="24"/>
          <w:lang w:val="en-US"/>
        </w:rPr>
        <w:t xml:space="preserve">, </w:t>
      </w:r>
      <w:proofErr w:type="spellStart"/>
      <w:r w:rsidR="003F3C91" w:rsidRPr="003F3C91">
        <w:rPr>
          <w:rFonts w:ascii="Times New Roman" w:hAnsi="Times New Roman" w:cs="Times New Roman"/>
          <w:i/>
          <w:sz w:val="24"/>
          <w:szCs w:val="24"/>
          <w:lang w:val="en-US"/>
        </w:rPr>
        <w:t>Katarzyna</w:t>
      </w:r>
      <w:proofErr w:type="spellEnd"/>
      <w:r w:rsidR="003F3C91" w:rsidRPr="003F3C91">
        <w:rPr>
          <w:rFonts w:ascii="Times New Roman" w:hAnsi="Times New Roman" w:cs="Times New Roman"/>
          <w:i/>
          <w:sz w:val="24"/>
          <w:szCs w:val="24"/>
          <w:lang w:val="en-US"/>
        </w:rPr>
        <w:t xml:space="preserve"> </w:t>
      </w:r>
      <w:proofErr w:type="spellStart"/>
      <w:r w:rsidR="003F3C91" w:rsidRPr="003F3C91">
        <w:rPr>
          <w:rFonts w:ascii="Times New Roman" w:hAnsi="Times New Roman" w:cs="Times New Roman"/>
          <w:i/>
          <w:sz w:val="24"/>
          <w:szCs w:val="24"/>
          <w:lang w:val="en-US"/>
        </w:rPr>
        <w:t>Cheba</w:t>
      </w:r>
      <w:proofErr w:type="spellEnd"/>
      <w:r w:rsidR="003F3C91" w:rsidRPr="003F3C91">
        <w:rPr>
          <w:rFonts w:ascii="Times New Roman" w:hAnsi="Times New Roman" w:cs="Times New Roman"/>
          <w:sz w:val="24"/>
          <w:szCs w:val="24"/>
          <w:lang w:val="en-US"/>
        </w:rPr>
        <w:t xml:space="preserve">. How to Design More Sustainable Financial Systems: The Roles of Environmental, Social and Governance Factors in the Decision-Making Process / </w:t>
      </w:r>
      <w:r w:rsidR="003F3C91">
        <w:rPr>
          <w:rFonts w:ascii="Times New Roman" w:hAnsi="Times New Roman" w:cs="Times New Roman"/>
          <w:sz w:val="24"/>
          <w:szCs w:val="24"/>
          <w:lang w:val="en-US"/>
        </w:rPr>
        <w:t>www.</w:t>
      </w:r>
      <w:r w:rsidR="003F3C91" w:rsidRPr="003F3C91">
        <w:rPr>
          <w:rFonts w:ascii="Times New Roman" w:hAnsi="Times New Roman" w:cs="Times New Roman"/>
          <w:sz w:val="24"/>
          <w:szCs w:val="24"/>
          <w:lang w:val="en-US"/>
        </w:rPr>
        <w:t xml:space="preserve">mdpi.com/2071-1050/11/20/5604/htm; </w:t>
      </w:r>
      <w:r w:rsidR="003F3C91">
        <w:rPr>
          <w:rFonts w:ascii="Times New Roman" w:hAnsi="Times New Roman" w:cs="Times New Roman"/>
          <w:sz w:val="24"/>
          <w:szCs w:val="24"/>
          <w:lang w:val="en-US"/>
        </w:rPr>
        <w:t>Special Issue</w:t>
      </w:r>
      <w:r w:rsidR="00BF7466" w:rsidRPr="00BF7466">
        <w:rPr>
          <w:rFonts w:ascii="Times New Roman" w:hAnsi="Times New Roman" w:cs="Times New Roman"/>
          <w:sz w:val="24"/>
          <w:szCs w:val="24"/>
          <w:lang w:val="en-US"/>
        </w:rPr>
        <w:t xml:space="preserve"> </w:t>
      </w:r>
      <w:r w:rsidR="003F3C91">
        <w:rPr>
          <w:rFonts w:ascii="Times New Roman" w:hAnsi="Times New Roman" w:cs="Times New Roman"/>
          <w:sz w:val="24"/>
          <w:szCs w:val="24"/>
          <w:lang w:val="en-US"/>
        </w:rPr>
        <w:t>Methodological Aspects of Solving Sustainability Problems</w:t>
      </w:r>
      <w:r w:rsidR="003F3C91" w:rsidRPr="003F3C91">
        <w:rPr>
          <w:rFonts w:ascii="Times New Roman" w:hAnsi="Times New Roman" w:cs="Times New Roman"/>
          <w:sz w:val="24"/>
          <w:szCs w:val="24"/>
          <w:lang w:val="en-US"/>
        </w:rPr>
        <w:t>:</w:t>
      </w:r>
      <w:r w:rsidR="003F3C91">
        <w:rPr>
          <w:rFonts w:ascii="Times New Roman" w:hAnsi="Times New Roman" w:cs="Times New Roman"/>
          <w:sz w:val="24"/>
          <w:szCs w:val="24"/>
          <w:lang w:val="en-US"/>
        </w:rPr>
        <w:t xml:space="preserve"> New Challenges, Algorithms and</w:t>
      </w:r>
      <w:r w:rsidR="00BF7466" w:rsidRPr="00BF7466">
        <w:rPr>
          <w:rFonts w:ascii="Times New Roman" w:hAnsi="Times New Roman" w:cs="Times New Roman"/>
          <w:sz w:val="24"/>
          <w:szCs w:val="24"/>
          <w:lang w:val="en-US"/>
        </w:rPr>
        <w:t xml:space="preserve"> </w:t>
      </w:r>
      <w:r w:rsidR="003F3C91">
        <w:rPr>
          <w:rFonts w:ascii="Times New Roman" w:hAnsi="Times New Roman" w:cs="Times New Roman"/>
          <w:sz w:val="24"/>
          <w:szCs w:val="24"/>
          <w:lang w:val="en-US"/>
        </w:rPr>
        <w:t>Application Areas /www.mdpi.com</w:t>
      </w:r>
      <w:r w:rsidR="006E2081">
        <w:rPr>
          <w:rFonts w:ascii="Times New Roman" w:hAnsi="Times New Roman" w:cs="Times New Roman"/>
          <w:sz w:val="24"/>
          <w:szCs w:val="24"/>
          <w:lang w:val="en-US"/>
        </w:rPr>
        <w:t xml:space="preserve"> </w:t>
      </w:r>
      <w:r w:rsidR="003F3C91">
        <w:rPr>
          <w:rFonts w:ascii="Times New Roman" w:hAnsi="Times New Roman" w:cs="Times New Roman"/>
          <w:sz w:val="24"/>
          <w:szCs w:val="24"/>
          <w:lang w:val="en-US"/>
        </w:rPr>
        <w:t>/</w:t>
      </w:r>
      <w:r w:rsidR="006E2081">
        <w:rPr>
          <w:rFonts w:ascii="Times New Roman" w:hAnsi="Times New Roman" w:cs="Times New Roman"/>
          <w:sz w:val="24"/>
          <w:szCs w:val="24"/>
          <w:lang w:val="en-US"/>
        </w:rPr>
        <w:t xml:space="preserve"> </w:t>
      </w:r>
      <w:r w:rsidR="003F3C91">
        <w:rPr>
          <w:rFonts w:ascii="Times New Roman" w:hAnsi="Times New Roman" w:cs="Times New Roman"/>
          <w:sz w:val="24"/>
          <w:szCs w:val="24"/>
          <w:lang w:val="en-US"/>
        </w:rPr>
        <w:t>Journal</w:t>
      </w:r>
      <w:r w:rsidR="006E2081">
        <w:rPr>
          <w:rFonts w:ascii="Times New Roman" w:hAnsi="Times New Roman" w:cs="Times New Roman"/>
          <w:sz w:val="24"/>
          <w:szCs w:val="24"/>
          <w:lang w:val="en-US"/>
        </w:rPr>
        <w:t xml:space="preserve"> </w:t>
      </w:r>
      <w:r w:rsidR="003F3C91">
        <w:rPr>
          <w:rFonts w:ascii="Times New Roman" w:hAnsi="Times New Roman" w:cs="Times New Roman"/>
          <w:sz w:val="24"/>
          <w:szCs w:val="24"/>
          <w:lang w:val="en-US"/>
        </w:rPr>
        <w:t>/</w:t>
      </w:r>
      <w:r w:rsidR="006E2081">
        <w:rPr>
          <w:rFonts w:ascii="Times New Roman" w:hAnsi="Times New Roman" w:cs="Times New Roman"/>
          <w:sz w:val="24"/>
          <w:szCs w:val="24"/>
          <w:lang w:val="en-US"/>
        </w:rPr>
        <w:t xml:space="preserve"> </w:t>
      </w:r>
      <w:r w:rsidR="003F3C91">
        <w:rPr>
          <w:rFonts w:ascii="Times New Roman" w:hAnsi="Times New Roman" w:cs="Times New Roman"/>
          <w:sz w:val="24"/>
          <w:szCs w:val="24"/>
          <w:lang w:val="en-US"/>
        </w:rPr>
        <w:t>Sustainability</w:t>
      </w:r>
      <w:r w:rsidR="006E2081">
        <w:rPr>
          <w:rFonts w:ascii="Times New Roman" w:hAnsi="Times New Roman" w:cs="Times New Roman"/>
          <w:sz w:val="24"/>
          <w:szCs w:val="24"/>
          <w:lang w:val="en-US"/>
        </w:rPr>
        <w:t xml:space="preserve"> </w:t>
      </w:r>
      <w:r w:rsidR="003F3C91">
        <w:rPr>
          <w:rFonts w:ascii="Times New Roman" w:hAnsi="Times New Roman" w:cs="Times New Roman"/>
          <w:sz w:val="24"/>
          <w:szCs w:val="24"/>
          <w:lang w:val="en-US"/>
        </w:rPr>
        <w:t>/</w:t>
      </w:r>
      <w:r w:rsidR="006E2081">
        <w:rPr>
          <w:rFonts w:ascii="Times New Roman" w:hAnsi="Times New Roman" w:cs="Times New Roman"/>
          <w:sz w:val="24"/>
          <w:szCs w:val="24"/>
          <w:lang w:val="en-US"/>
        </w:rPr>
        <w:t xml:space="preserve"> </w:t>
      </w:r>
      <w:proofErr w:type="spellStart"/>
      <w:r w:rsidR="003F3C91">
        <w:rPr>
          <w:rFonts w:ascii="Times New Roman" w:hAnsi="Times New Roman" w:cs="Times New Roman"/>
          <w:sz w:val="24"/>
          <w:szCs w:val="24"/>
          <w:lang w:val="en-US"/>
        </w:rPr>
        <w:t>Special_Issues</w:t>
      </w:r>
      <w:proofErr w:type="spellEnd"/>
      <w:r w:rsidR="006E2081">
        <w:rPr>
          <w:rFonts w:ascii="Times New Roman" w:hAnsi="Times New Roman" w:cs="Times New Roman"/>
          <w:sz w:val="24"/>
          <w:szCs w:val="24"/>
          <w:lang w:val="en-US"/>
        </w:rPr>
        <w:t xml:space="preserve"> </w:t>
      </w:r>
      <w:r w:rsidR="003F3C91">
        <w:rPr>
          <w:rFonts w:ascii="Times New Roman" w:hAnsi="Times New Roman" w:cs="Times New Roman"/>
          <w:sz w:val="24"/>
          <w:szCs w:val="24"/>
          <w:lang w:val="en-US"/>
        </w:rPr>
        <w:t>/</w:t>
      </w:r>
      <w:r w:rsidR="006E2081">
        <w:rPr>
          <w:rFonts w:ascii="Times New Roman" w:hAnsi="Times New Roman" w:cs="Times New Roman"/>
          <w:sz w:val="24"/>
          <w:szCs w:val="24"/>
          <w:lang w:val="en-US"/>
        </w:rPr>
        <w:t xml:space="preserve"> </w:t>
      </w:r>
      <w:proofErr w:type="spellStart"/>
      <w:r w:rsidR="003F3C91">
        <w:rPr>
          <w:rFonts w:ascii="Times New Roman" w:hAnsi="Times New Roman" w:cs="Times New Roman"/>
          <w:sz w:val="24"/>
          <w:szCs w:val="24"/>
          <w:lang w:val="en-US"/>
        </w:rPr>
        <w:t>Solving</w:t>
      </w:r>
      <w:r w:rsidR="00BF7466">
        <w:rPr>
          <w:rFonts w:ascii="Times New Roman" w:hAnsi="Times New Roman" w:cs="Times New Roman"/>
          <w:sz w:val="24"/>
          <w:szCs w:val="24"/>
          <w:lang w:val="en-US"/>
        </w:rPr>
        <w:t>_Sustainability</w:t>
      </w:r>
      <w:proofErr w:type="spellEnd"/>
      <w:r w:rsidR="00BF7466">
        <w:rPr>
          <w:rFonts w:ascii="Times New Roman" w:hAnsi="Times New Roman" w:cs="Times New Roman"/>
          <w:sz w:val="24"/>
          <w:szCs w:val="24"/>
          <w:lang w:val="en-US"/>
        </w:rPr>
        <w:t>-Problems</w:t>
      </w:r>
      <w:r w:rsidR="00BF7466" w:rsidRPr="00BF7466">
        <w:rPr>
          <w:rFonts w:ascii="Times New Roman" w:hAnsi="Times New Roman" w:cs="Times New Roman"/>
          <w:sz w:val="24"/>
          <w:szCs w:val="24"/>
          <w:lang w:val="en-US"/>
        </w:rPr>
        <w:t>;</w:t>
      </w:r>
      <w:r w:rsidR="00BF7466">
        <w:rPr>
          <w:rFonts w:ascii="Times New Roman" w:hAnsi="Times New Roman" w:cs="Times New Roman"/>
          <w:sz w:val="24"/>
          <w:szCs w:val="24"/>
          <w:lang w:val="en-US"/>
        </w:rPr>
        <w:t xml:space="preserve"> Best Practices in Sustainable Finance / cbd.int</w:t>
      </w:r>
      <w:r w:rsidR="007A09D0">
        <w:rPr>
          <w:rFonts w:ascii="Times New Roman" w:hAnsi="Times New Roman" w:cs="Times New Roman"/>
          <w:sz w:val="24"/>
          <w:szCs w:val="24"/>
          <w:lang w:val="en-US"/>
        </w:rPr>
        <w:t xml:space="preserve"> </w:t>
      </w:r>
      <w:r w:rsidR="00BF7466">
        <w:rPr>
          <w:rFonts w:ascii="Times New Roman" w:hAnsi="Times New Roman" w:cs="Times New Roman"/>
          <w:sz w:val="24"/>
          <w:szCs w:val="24"/>
          <w:lang w:val="en-US"/>
        </w:rPr>
        <w:t>/</w:t>
      </w:r>
      <w:r w:rsidR="007A09D0">
        <w:rPr>
          <w:rFonts w:ascii="Times New Roman" w:hAnsi="Times New Roman" w:cs="Times New Roman"/>
          <w:sz w:val="24"/>
          <w:szCs w:val="24"/>
          <w:lang w:val="en-US"/>
        </w:rPr>
        <w:t xml:space="preserve"> </w:t>
      </w:r>
      <w:r w:rsidR="00BF7466">
        <w:rPr>
          <w:rFonts w:ascii="Times New Roman" w:hAnsi="Times New Roman" w:cs="Times New Roman"/>
          <w:sz w:val="24"/>
          <w:szCs w:val="24"/>
          <w:lang w:val="en-US"/>
        </w:rPr>
        <w:t>financial</w:t>
      </w:r>
      <w:r w:rsidR="007A09D0">
        <w:rPr>
          <w:rFonts w:ascii="Times New Roman" w:hAnsi="Times New Roman" w:cs="Times New Roman"/>
          <w:sz w:val="24"/>
          <w:szCs w:val="24"/>
          <w:lang w:val="en-US"/>
        </w:rPr>
        <w:t xml:space="preserve"> </w:t>
      </w:r>
      <w:r w:rsidR="00BF7466">
        <w:rPr>
          <w:rFonts w:ascii="Times New Roman" w:hAnsi="Times New Roman" w:cs="Times New Roman"/>
          <w:sz w:val="24"/>
          <w:szCs w:val="24"/>
          <w:lang w:val="en-US"/>
        </w:rPr>
        <w:t>/</w:t>
      </w:r>
      <w:r w:rsidR="007A09D0">
        <w:rPr>
          <w:rFonts w:ascii="Times New Roman" w:hAnsi="Times New Roman" w:cs="Times New Roman"/>
          <w:sz w:val="24"/>
          <w:szCs w:val="24"/>
          <w:lang w:val="en-US"/>
        </w:rPr>
        <w:t xml:space="preserve"> </w:t>
      </w:r>
      <w:proofErr w:type="spellStart"/>
      <w:r w:rsidR="00BF7466">
        <w:rPr>
          <w:rFonts w:ascii="Times New Roman" w:hAnsi="Times New Roman" w:cs="Times New Roman"/>
          <w:sz w:val="24"/>
          <w:szCs w:val="24"/>
          <w:lang w:val="en-US"/>
        </w:rPr>
        <w:t>privatesector</w:t>
      </w:r>
      <w:proofErr w:type="spellEnd"/>
      <w:r w:rsidR="007A09D0">
        <w:rPr>
          <w:rFonts w:ascii="Times New Roman" w:hAnsi="Times New Roman" w:cs="Times New Roman"/>
          <w:sz w:val="24"/>
          <w:szCs w:val="24"/>
          <w:lang w:val="en-US"/>
        </w:rPr>
        <w:t xml:space="preserve"> </w:t>
      </w:r>
      <w:r w:rsidR="00BF7466">
        <w:rPr>
          <w:rFonts w:ascii="Times New Roman" w:hAnsi="Times New Roman" w:cs="Times New Roman"/>
          <w:sz w:val="24"/>
          <w:szCs w:val="24"/>
          <w:lang w:val="en-US"/>
        </w:rPr>
        <w:t>/</w:t>
      </w:r>
      <w:r w:rsidR="007A09D0">
        <w:rPr>
          <w:rFonts w:ascii="Times New Roman" w:hAnsi="Times New Roman" w:cs="Times New Roman"/>
          <w:sz w:val="24"/>
          <w:szCs w:val="24"/>
          <w:lang w:val="en-US"/>
        </w:rPr>
        <w:t xml:space="preserve"> </w:t>
      </w:r>
      <w:r w:rsidR="00BF7466">
        <w:rPr>
          <w:rFonts w:ascii="Times New Roman" w:hAnsi="Times New Roman" w:cs="Times New Roman"/>
          <w:sz w:val="24"/>
          <w:szCs w:val="24"/>
          <w:lang w:val="en-US"/>
        </w:rPr>
        <w:t>several-privatebestpractices.pdf</w:t>
      </w:r>
      <w:r w:rsidR="00BF7466" w:rsidRPr="00BF7466">
        <w:rPr>
          <w:rFonts w:ascii="Times New Roman" w:hAnsi="Times New Roman" w:cs="Times New Roman"/>
          <w:sz w:val="24"/>
          <w:szCs w:val="24"/>
          <w:lang w:val="en-US"/>
        </w:rPr>
        <w:t xml:space="preserve">; </w:t>
      </w:r>
      <w:proofErr w:type="spellStart"/>
      <w:r w:rsidR="00BF7466" w:rsidRPr="00BF7466">
        <w:rPr>
          <w:rFonts w:ascii="Times New Roman" w:hAnsi="Times New Roman" w:cs="Times New Roman"/>
          <w:i/>
          <w:sz w:val="24"/>
          <w:szCs w:val="24"/>
          <w:lang w:val="en-US"/>
        </w:rPr>
        <w:t>Niklas</w:t>
      </w:r>
      <w:proofErr w:type="spellEnd"/>
      <w:r w:rsidR="00BF7466" w:rsidRPr="00BF7466">
        <w:rPr>
          <w:rFonts w:ascii="Times New Roman" w:hAnsi="Times New Roman" w:cs="Times New Roman"/>
          <w:i/>
          <w:sz w:val="24"/>
          <w:szCs w:val="24"/>
          <w:lang w:val="en-US"/>
        </w:rPr>
        <w:t xml:space="preserve"> </w:t>
      </w:r>
      <w:proofErr w:type="spellStart"/>
      <w:r w:rsidR="00BF7466" w:rsidRPr="00BF7466">
        <w:rPr>
          <w:rFonts w:ascii="Times New Roman" w:hAnsi="Times New Roman" w:cs="Times New Roman"/>
          <w:i/>
          <w:sz w:val="24"/>
          <w:szCs w:val="24"/>
          <w:lang w:val="en-US"/>
        </w:rPr>
        <w:t>Waellstedt</w:t>
      </w:r>
      <w:proofErr w:type="spellEnd"/>
      <w:r w:rsidR="00BF7466" w:rsidRPr="00BF7466">
        <w:rPr>
          <w:rFonts w:ascii="Times New Roman" w:hAnsi="Times New Roman" w:cs="Times New Roman"/>
          <w:i/>
          <w:sz w:val="24"/>
          <w:szCs w:val="24"/>
          <w:lang w:val="en-US"/>
        </w:rPr>
        <w:t xml:space="preserve">, Roland </w:t>
      </w:r>
      <w:proofErr w:type="spellStart"/>
      <w:r w:rsidR="00BF7466" w:rsidRPr="00BF7466">
        <w:rPr>
          <w:rFonts w:ascii="Times New Roman" w:hAnsi="Times New Roman" w:cs="Times New Roman"/>
          <w:i/>
          <w:sz w:val="24"/>
          <w:szCs w:val="24"/>
          <w:lang w:val="en-US"/>
        </w:rPr>
        <w:t>Almqvist</w:t>
      </w:r>
      <w:proofErr w:type="spellEnd"/>
      <w:r w:rsidR="00BF7466" w:rsidRPr="00BF7466">
        <w:rPr>
          <w:rFonts w:ascii="Times New Roman" w:hAnsi="Times New Roman" w:cs="Times New Roman"/>
          <w:i/>
          <w:sz w:val="24"/>
          <w:szCs w:val="24"/>
          <w:lang w:val="en-US"/>
        </w:rPr>
        <w:t xml:space="preserve">, </w:t>
      </w:r>
      <w:proofErr w:type="spellStart"/>
      <w:r w:rsidR="00BF7466" w:rsidRPr="00BF7466">
        <w:rPr>
          <w:rFonts w:ascii="Times New Roman" w:hAnsi="Times New Roman" w:cs="Times New Roman"/>
          <w:i/>
          <w:sz w:val="24"/>
          <w:szCs w:val="24"/>
          <w:lang w:val="en-US"/>
        </w:rPr>
        <w:t>Guiseppe</w:t>
      </w:r>
      <w:proofErr w:type="spellEnd"/>
      <w:r w:rsidR="00BF7466" w:rsidRPr="00BF7466">
        <w:rPr>
          <w:rFonts w:ascii="Times New Roman" w:hAnsi="Times New Roman" w:cs="Times New Roman"/>
          <w:i/>
          <w:sz w:val="24"/>
          <w:szCs w:val="24"/>
          <w:lang w:val="en-US"/>
        </w:rPr>
        <w:t xml:space="preserve"> </w:t>
      </w:r>
      <w:proofErr w:type="spellStart"/>
      <w:r w:rsidR="00BF7466" w:rsidRPr="00BF7466">
        <w:rPr>
          <w:rFonts w:ascii="Times New Roman" w:hAnsi="Times New Roman" w:cs="Times New Roman"/>
          <w:i/>
          <w:sz w:val="24"/>
          <w:szCs w:val="24"/>
          <w:lang w:val="en-US"/>
        </w:rPr>
        <w:t>Grossi</w:t>
      </w:r>
      <w:proofErr w:type="spellEnd"/>
      <w:r w:rsidR="00BF7466">
        <w:rPr>
          <w:rFonts w:ascii="Times New Roman" w:hAnsi="Times New Roman" w:cs="Times New Roman"/>
          <w:sz w:val="24"/>
          <w:szCs w:val="24"/>
          <w:lang w:val="en-US"/>
        </w:rPr>
        <w:t xml:space="preserve">. </w:t>
      </w:r>
      <w:proofErr w:type="spellStart"/>
      <w:r w:rsidR="00BF7466">
        <w:rPr>
          <w:rFonts w:ascii="Times New Roman" w:hAnsi="Times New Roman" w:cs="Times New Roman"/>
          <w:sz w:val="24"/>
          <w:szCs w:val="24"/>
          <w:lang w:val="en-US"/>
        </w:rPr>
        <w:t>Organisational</w:t>
      </w:r>
      <w:proofErr w:type="spellEnd"/>
      <w:r w:rsidR="00BF7466">
        <w:rPr>
          <w:rFonts w:ascii="Times New Roman" w:hAnsi="Times New Roman" w:cs="Times New Roman"/>
          <w:sz w:val="24"/>
          <w:szCs w:val="24"/>
          <w:lang w:val="en-US"/>
        </w:rPr>
        <w:t xml:space="preserve"> solutions for financial sustainability. A comparative case study from the Swedish Municipalities</w:t>
      </w:r>
      <w:r w:rsidR="00BF7466" w:rsidRPr="00BF7466">
        <w:rPr>
          <w:rFonts w:ascii="Times New Roman" w:hAnsi="Times New Roman" w:cs="Times New Roman"/>
          <w:sz w:val="24"/>
          <w:szCs w:val="24"/>
          <w:lang w:val="en-US"/>
        </w:rPr>
        <w:t xml:space="preserve"> </w:t>
      </w:r>
      <w:r w:rsidR="00BF7466">
        <w:rPr>
          <w:rFonts w:ascii="Times New Roman" w:hAnsi="Times New Roman" w:cs="Times New Roman"/>
          <w:sz w:val="24"/>
          <w:szCs w:val="24"/>
          <w:lang w:val="en-US"/>
        </w:rPr>
        <w:t>/ researchgate.net/publication/261142300_Organisational-solutions-for-financial-sustainability</w:t>
      </w:r>
      <w:r w:rsidR="006E2081" w:rsidRPr="006E2081">
        <w:rPr>
          <w:rFonts w:ascii="Times New Roman" w:hAnsi="Times New Roman" w:cs="Times New Roman"/>
          <w:sz w:val="24"/>
          <w:szCs w:val="24"/>
          <w:lang w:val="en-US"/>
        </w:rPr>
        <w:t xml:space="preserve">; </w:t>
      </w:r>
      <w:proofErr w:type="spellStart"/>
      <w:r w:rsidR="006E2081">
        <w:rPr>
          <w:rFonts w:ascii="Times New Roman" w:hAnsi="Times New Roman" w:cs="Times New Roman"/>
          <w:sz w:val="24"/>
          <w:szCs w:val="24"/>
          <w:lang w:val="en-US"/>
        </w:rPr>
        <w:t>PriceWaterhouseCoopers</w:t>
      </w:r>
      <w:proofErr w:type="spellEnd"/>
      <w:r w:rsidR="006E2081">
        <w:rPr>
          <w:rFonts w:ascii="Times New Roman" w:hAnsi="Times New Roman" w:cs="Times New Roman"/>
          <w:sz w:val="24"/>
          <w:szCs w:val="24"/>
          <w:lang w:val="en-US"/>
        </w:rPr>
        <w:t xml:space="preserve"> (2006). National Financial Sustainability Study of Local Government. Sydney, NSW</w:t>
      </w:r>
      <w:r w:rsidR="00617F72" w:rsidRPr="00617F72">
        <w:rPr>
          <w:rFonts w:ascii="Times New Roman" w:hAnsi="Times New Roman" w:cs="Times New Roman"/>
          <w:sz w:val="24"/>
          <w:szCs w:val="24"/>
          <w:lang w:val="en-US"/>
        </w:rPr>
        <w:t>:</w:t>
      </w:r>
      <w:r w:rsidR="006E2081">
        <w:rPr>
          <w:rFonts w:ascii="Times New Roman" w:hAnsi="Times New Roman" w:cs="Times New Roman"/>
          <w:sz w:val="24"/>
          <w:szCs w:val="24"/>
          <w:lang w:val="en-US"/>
        </w:rPr>
        <w:t xml:space="preserve"> PWC</w:t>
      </w:r>
      <w:r w:rsidR="00617F72" w:rsidRPr="00617F72">
        <w:rPr>
          <w:rFonts w:ascii="Times New Roman" w:hAnsi="Times New Roman" w:cs="Times New Roman"/>
          <w:sz w:val="24"/>
          <w:szCs w:val="24"/>
          <w:lang w:val="en-US"/>
        </w:rPr>
        <w:t>;</w:t>
      </w:r>
      <w:r w:rsidR="006E2081">
        <w:rPr>
          <w:rFonts w:ascii="Times New Roman" w:hAnsi="Times New Roman" w:cs="Times New Roman"/>
          <w:sz w:val="24"/>
          <w:szCs w:val="24"/>
          <w:lang w:val="en-US"/>
        </w:rPr>
        <w:t xml:space="preserve"> </w:t>
      </w:r>
      <w:proofErr w:type="spellStart"/>
      <w:r w:rsidR="006E2081" w:rsidRPr="00B66532">
        <w:rPr>
          <w:rFonts w:ascii="Times New Roman" w:hAnsi="Times New Roman" w:cs="Times New Roman"/>
          <w:i/>
          <w:sz w:val="24"/>
          <w:szCs w:val="24"/>
          <w:lang w:val="en-US"/>
        </w:rPr>
        <w:t>Helden</w:t>
      </w:r>
      <w:proofErr w:type="spellEnd"/>
      <w:r w:rsidR="006E2081" w:rsidRPr="00B66532">
        <w:rPr>
          <w:rFonts w:ascii="Times New Roman" w:hAnsi="Times New Roman" w:cs="Times New Roman"/>
          <w:i/>
          <w:sz w:val="24"/>
          <w:szCs w:val="24"/>
          <w:lang w:val="en-US"/>
        </w:rPr>
        <w:t xml:space="preserve"> </w:t>
      </w:r>
      <w:proofErr w:type="gramStart"/>
      <w:r w:rsidR="006E2081" w:rsidRPr="00B66532">
        <w:rPr>
          <w:rFonts w:ascii="Times New Roman" w:hAnsi="Times New Roman" w:cs="Times New Roman"/>
          <w:i/>
          <w:sz w:val="24"/>
          <w:szCs w:val="24"/>
          <w:lang w:val="en-US"/>
        </w:rPr>
        <w:t>van.,</w:t>
      </w:r>
      <w:proofErr w:type="gramEnd"/>
      <w:r w:rsidR="006E2081" w:rsidRPr="00B66532">
        <w:rPr>
          <w:rFonts w:ascii="Times New Roman" w:hAnsi="Times New Roman" w:cs="Times New Roman"/>
          <w:i/>
          <w:sz w:val="24"/>
          <w:szCs w:val="24"/>
          <w:lang w:val="en-US"/>
        </w:rPr>
        <w:t xml:space="preserve"> G.I.</w:t>
      </w:r>
      <w:r w:rsidR="006E2081">
        <w:rPr>
          <w:rFonts w:ascii="Times New Roman" w:hAnsi="Times New Roman" w:cs="Times New Roman"/>
          <w:sz w:val="24"/>
          <w:szCs w:val="24"/>
          <w:lang w:val="en-US"/>
        </w:rPr>
        <w:t xml:space="preserve"> (2000)/ Is </w:t>
      </w:r>
      <w:r w:rsidR="007A09D0">
        <w:rPr>
          <w:rFonts w:ascii="Times New Roman" w:hAnsi="Times New Roman" w:cs="Times New Roman"/>
          <w:sz w:val="24"/>
          <w:szCs w:val="24"/>
          <w:lang w:val="en-US"/>
        </w:rPr>
        <w:t>Financial Stress an Incentive for the Adoption of Businesslike Planning and Control in Local Government</w:t>
      </w:r>
      <w:r w:rsidR="007A09D0" w:rsidRPr="007A09D0">
        <w:rPr>
          <w:rFonts w:ascii="Times New Roman" w:hAnsi="Times New Roman" w:cs="Times New Roman"/>
          <w:sz w:val="24"/>
          <w:szCs w:val="24"/>
          <w:lang w:val="en-US"/>
        </w:rPr>
        <w:t>?</w:t>
      </w:r>
      <w:r w:rsidR="007A09D0">
        <w:rPr>
          <w:rFonts w:ascii="Times New Roman" w:hAnsi="Times New Roman" w:cs="Times New Roman"/>
          <w:sz w:val="24"/>
          <w:szCs w:val="24"/>
          <w:lang w:val="en-US"/>
        </w:rPr>
        <w:t xml:space="preserve"> A Comparative Study of Eight Dutch Municipalities. Financial Accountability and Management. 16. pp.</w:t>
      </w:r>
      <w:r w:rsidR="00045F53">
        <w:rPr>
          <w:rFonts w:ascii="Times New Roman" w:hAnsi="Times New Roman" w:cs="Times New Roman"/>
          <w:sz w:val="24"/>
          <w:szCs w:val="24"/>
          <w:lang w:val="en-US"/>
        </w:rPr>
        <w:t xml:space="preserve">83-100; </w:t>
      </w:r>
      <w:r w:rsidR="00045F53" w:rsidRPr="00B66532">
        <w:rPr>
          <w:rFonts w:ascii="Times New Roman" w:hAnsi="Times New Roman" w:cs="Times New Roman"/>
          <w:i/>
          <w:sz w:val="24"/>
          <w:szCs w:val="24"/>
          <w:lang w:val="en-US"/>
        </w:rPr>
        <w:t>Park K</w:t>
      </w:r>
      <w:r w:rsidR="00045F53">
        <w:rPr>
          <w:rFonts w:ascii="Times New Roman" w:hAnsi="Times New Roman" w:cs="Times New Roman"/>
          <w:sz w:val="24"/>
          <w:szCs w:val="24"/>
          <w:lang w:val="en-US"/>
        </w:rPr>
        <w:t>. (2004). To File or not to File:</w:t>
      </w:r>
      <w:r w:rsidR="00B66532">
        <w:rPr>
          <w:rFonts w:ascii="Times New Roman" w:hAnsi="Times New Roman" w:cs="Times New Roman"/>
          <w:sz w:val="24"/>
          <w:szCs w:val="24"/>
          <w:lang w:val="en-US"/>
        </w:rPr>
        <w:t xml:space="preserve"> The Causes of Municipal Bankruptcy in the United States. Journal of Public Budgeting. Accounting and Financial Management. 16. pp. 228-256.</w:t>
      </w:r>
    </w:p>
  </w:footnote>
  <w:footnote w:id="2">
    <w:p w:rsidR="001476EB" w:rsidRDefault="001476EB" w:rsidP="001476EB">
      <w:pPr>
        <w:pStyle w:val="a8"/>
        <w:ind w:firstLine="709"/>
        <w:jc w:val="both"/>
      </w:pPr>
      <w:r>
        <w:rPr>
          <w:rStyle w:val="aa"/>
        </w:rPr>
        <w:footnoteRef/>
      </w:r>
      <w:r w:rsidRPr="0033770D">
        <w:t xml:space="preserve"> </w:t>
      </w:r>
      <w:r w:rsidRPr="00C75E34">
        <w:rPr>
          <w:rFonts w:ascii="Times New Roman" w:hAnsi="Times New Roman" w:cs="Times New Roman"/>
          <w:sz w:val="24"/>
          <w:szCs w:val="24"/>
        </w:rPr>
        <w:t>Методология</w:t>
      </w:r>
      <w:r w:rsidRPr="0033770D">
        <w:rPr>
          <w:rFonts w:ascii="Times New Roman" w:hAnsi="Times New Roman" w:cs="Times New Roman"/>
          <w:sz w:val="24"/>
          <w:szCs w:val="24"/>
        </w:rPr>
        <w:t xml:space="preserve"> </w:t>
      </w:r>
      <w:r w:rsidRPr="00C75E34">
        <w:rPr>
          <w:rFonts w:ascii="Times New Roman" w:hAnsi="Times New Roman" w:cs="Times New Roman"/>
          <w:sz w:val="24"/>
          <w:szCs w:val="24"/>
        </w:rPr>
        <w:t>присвоения</w:t>
      </w:r>
      <w:r w:rsidRPr="0033770D">
        <w:rPr>
          <w:rFonts w:ascii="Times New Roman" w:hAnsi="Times New Roman" w:cs="Times New Roman"/>
          <w:sz w:val="24"/>
          <w:szCs w:val="24"/>
        </w:rPr>
        <w:t xml:space="preserve"> </w:t>
      </w:r>
      <w:r w:rsidRPr="00C75E34">
        <w:rPr>
          <w:rFonts w:ascii="Times New Roman" w:hAnsi="Times New Roman" w:cs="Times New Roman"/>
          <w:sz w:val="24"/>
          <w:szCs w:val="24"/>
        </w:rPr>
        <w:t>корпоративных</w:t>
      </w:r>
      <w:r w:rsidRPr="0033770D">
        <w:rPr>
          <w:rFonts w:ascii="Times New Roman" w:hAnsi="Times New Roman" w:cs="Times New Roman"/>
          <w:sz w:val="24"/>
          <w:szCs w:val="24"/>
        </w:rPr>
        <w:t xml:space="preserve"> </w:t>
      </w:r>
      <w:r w:rsidRPr="00C75E34">
        <w:rPr>
          <w:rFonts w:ascii="Times New Roman" w:hAnsi="Times New Roman" w:cs="Times New Roman"/>
          <w:sz w:val="24"/>
          <w:szCs w:val="24"/>
        </w:rPr>
        <w:t>рейтингов</w:t>
      </w:r>
      <w:r w:rsidRPr="0033770D">
        <w:rPr>
          <w:rFonts w:ascii="Times New Roman" w:hAnsi="Times New Roman" w:cs="Times New Roman"/>
          <w:sz w:val="24"/>
          <w:szCs w:val="24"/>
        </w:rPr>
        <w:t xml:space="preserve">. </w:t>
      </w:r>
      <w:r w:rsidRPr="00C75E34">
        <w:rPr>
          <w:rFonts w:ascii="Times New Roman" w:hAnsi="Times New Roman" w:cs="Times New Roman"/>
          <w:sz w:val="24"/>
          <w:szCs w:val="24"/>
          <w:lang w:val="en-US"/>
        </w:rPr>
        <w:t>Standard</w:t>
      </w:r>
      <w:r w:rsidRPr="0033770D">
        <w:rPr>
          <w:rFonts w:ascii="Times New Roman" w:hAnsi="Times New Roman" w:cs="Times New Roman"/>
          <w:sz w:val="24"/>
          <w:szCs w:val="24"/>
        </w:rPr>
        <w:t xml:space="preserve"> &amp;</w:t>
      </w:r>
      <w:proofErr w:type="spellStart"/>
      <w:r w:rsidRPr="00C75E34">
        <w:rPr>
          <w:rFonts w:ascii="Times New Roman" w:hAnsi="Times New Roman" w:cs="Times New Roman"/>
          <w:sz w:val="24"/>
          <w:szCs w:val="24"/>
          <w:lang w:val="en-US"/>
        </w:rPr>
        <w:t>Poors</w:t>
      </w:r>
      <w:proofErr w:type="spellEnd"/>
      <w:r w:rsidRPr="0033770D">
        <w:rPr>
          <w:rFonts w:ascii="Times New Roman" w:hAnsi="Times New Roman" w:cs="Times New Roman"/>
          <w:sz w:val="24"/>
          <w:szCs w:val="24"/>
        </w:rPr>
        <w:t xml:space="preserve">. </w:t>
      </w:r>
      <w:r w:rsidRPr="001476EB">
        <w:rPr>
          <w:rFonts w:ascii="Times New Roman" w:hAnsi="Times New Roman" w:cs="Times New Roman"/>
          <w:sz w:val="24"/>
          <w:szCs w:val="24"/>
          <w:lang w:val="en-US"/>
        </w:rPr>
        <w:t xml:space="preserve">01.07.2019; </w:t>
      </w:r>
      <w:r w:rsidRPr="00E1221A">
        <w:rPr>
          <w:rFonts w:ascii="Times New Roman" w:hAnsi="Times New Roman" w:cs="Times New Roman"/>
          <w:sz w:val="24"/>
          <w:szCs w:val="24"/>
          <w:lang w:val="en-US"/>
        </w:rPr>
        <w:t xml:space="preserve">Integrated Oil and Gas Methodology. </w:t>
      </w:r>
      <w:proofErr w:type="spellStart"/>
      <w:r w:rsidRPr="00E1221A">
        <w:rPr>
          <w:rFonts w:ascii="Times New Roman" w:hAnsi="Times New Roman" w:cs="Times New Roman"/>
          <w:sz w:val="24"/>
          <w:szCs w:val="24"/>
          <w:lang w:val="en-US"/>
        </w:rPr>
        <w:t>Moodys</w:t>
      </w:r>
      <w:proofErr w:type="spellEnd"/>
      <w:r w:rsidRPr="004D1479">
        <w:rPr>
          <w:rFonts w:ascii="Times New Roman" w:hAnsi="Times New Roman" w:cs="Times New Roman"/>
          <w:sz w:val="24"/>
          <w:szCs w:val="24"/>
          <w:lang w:val="en-US"/>
        </w:rPr>
        <w:t xml:space="preserve"> </w:t>
      </w:r>
      <w:r w:rsidRPr="00E1221A">
        <w:rPr>
          <w:rFonts w:ascii="Times New Roman" w:hAnsi="Times New Roman" w:cs="Times New Roman"/>
          <w:sz w:val="24"/>
          <w:szCs w:val="24"/>
          <w:lang w:val="en-US"/>
        </w:rPr>
        <w:t>Investors</w:t>
      </w:r>
      <w:r w:rsidRPr="004D1479">
        <w:rPr>
          <w:rFonts w:ascii="Times New Roman" w:hAnsi="Times New Roman" w:cs="Times New Roman"/>
          <w:sz w:val="24"/>
          <w:szCs w:val="24"/>
          <w:lang w:val="en-US"/>
        </w:rPr>
        <w:t xml:space="preserve"> </w:t>
      </w:r>
      <w:r w:rsidRPr="00E1221A">
        <w:rPr>
          <w:rFonts w:ascii="Times New Roman" w:hAnsi="Times New Roman" w:cs="Times New Roman"/>
          <w:sz w:val="24"/>
          <w:szCs w:val="24"/>
          <w:lang w:val="en-US"/>
        </w:rPr>
        <w:t>Service</w:t>
      </w:r>
      <w:r w:rsidRPr="004D1479">
        <w:rPr>
          <w:rFonts w:ascii="Times New Roman" w:hAnsi="Times New Roman" w:cs="Times New Roman"/>
          <w:sz w:val="24"/>
          <w:szCs w:val="24"/>
          <w:lang w:val="en-US"/>
        </w:rPr>
        <w:t xml:space="preserve">. </w:t>
      </w:r>
      <w:r w:rsidRPr="001476EB">
        <w:rPr>
          <w:rFonts w:ascii="Times New Roman" w:hAnsi="Times New Roman" w:cs="Times New Roman"/>
          <w:sz w:val="24"/>
          <w:szCs w:val="24"/>
          <w:lang w:val="en-US"/>
        </w:rPr>
        <w:t xml:space="preserve">23. </w:t>
      </w:r>
      <w:r w:rsidRPr="00E1221A">
        <w:rPr>
          <w:rFonts w:ascii="Times New Roman" w:hAnsi="Times New Roman" w:cs="Times New Roman"/>
          <w:sz w:val="24"/>
          <w:szCs w:val="24"/>
          <w:lang w:val="en-US"/>
        </w:rPr>
        <w:t>Sept</w:t>
      </w:r>
      <w:r w:rsidRPr="001476EB">
        <w:rPr>
          <w:rFonts w:ascii="Times New Roman" w:hAnsi="Times New Roman" w:cs="Times New Roman"/>
          <w:sz w:val="24"/>
          <w:szCs w:val="24"/>
          <w:lang w:val="en-US"/>
        </w:rPr>
        <w:t xml:space="preserve"> 2019; </w:t>
      </w:r>
      <w:r w:rsidRPr="000B4F6D">
        <w:rPr>
          <w:rFonts w:ascii="Times New Roman" w:hAnsi="Times New Roman" w:cs="Times New Roman"/>
          <w:sz w:val="24"/>
          <w:szCs w:val="24"/>
        </w:rPr>
        <w:t>Методология</w:t>
      </w:r>
      <w:r w:rsidRPr="001476EB">
        <w:rPr>
          <w:rFonts w:ascii="Times New Roman" w:hAnsi="Times New Roman" w:cs="Times New Roman"/>
          <w:sz w:val="24"/>
          <w:szCs w:val="24"/>
          <w:lang w:val="en-US"/>
        </w:rPr>
        <w:t xml:space="preserve">: </w:t>
      </w:r>
      <w:r>
        <w:rPr>
          <w:rFonts w:ascii="Times New Roman" w:hAnsi="Times New Roman" w:cs="Times New Roman"/>
          <w:sz w:val="24"/>
          <w:szCs w:val="24"/>
        </w:rPr>
        <w:t>бизнес</w:t>
      </w:r>
      <w:r w:rsidRPr="001476EB">
        <w:rPr>
          <w:rFonts w:ascii="Times New Roman" w:hAnsi="Times New Roman" w:cs="Times New Roman"/>
          <w:sz w:val="24"/>
          <w:szCs w:val="24"/>
          <w:lang w:val="en-US"/>
        </w:rPr>
        <w:t>-</w:t>
      </w:r>
      <w:r w:rsidRPr="00E1221A">
        <w:rPr>
          <w:rFonts w:ascii="Times New Roman" w:hAnsi="Times New Roman" w:cs="Times New Roman"/>
          <w:sz w:val="24"/>
          <w:szCs w:val="24"/>
        </w:rPr>
        <w:t>риски</w:t>
      </w:r>
      <w:r w:rsidRPr="001476EB">
        <w:rPr>
          <w:rFonts w:ascii="Times New Roman" w:hAnsi="Times New Roman" w:cs="Times New Roman"/>
          <w:sz w:val="24"/>
          <w:szCs w:val="24"/>
          <w:lang w:val="en-US"/>
        </w:rPr>
        <w:t>/</w:t>
      </w:r>
      <w:r w:rsidRPr="00E1221A">
        <w:rPr>
          <w:rFonts w:ascii="Times New Roman" w:hAnsi="Times New Roman" w:cs="Times New Roman"/>
          <w:sz w:val="24"/>
          <w:szCs w:val="24"/>
        </w:rPr>
        <w:t>финансовые</w:t>
      </w:r>
      <w:r w:rsidRPr="001476EB">
        <w:rPr>
          <w:rFonts w:ascii="Times New Roman" w:hAnsi="Times New Roman" w:cs="Times New Roman"/>
          <w:sz w:val="24"/>
          <w:szCs w:val="24"/>
          <w:lang w:val="en-US"/>
        </w:rPr>
        <w:t xml:space="preserve"> </w:t>
      </w:r>
      <w:r w:rsidRPr="00E1221A">
        <w:rPr>
          <w:rFonts w:ascii="Times New Roman" w:hAnsi="Times New Roman" w:cs="Times New Roman"/>
          <w:sz w:val="24"/>
          <w:szCs w:val="24"/>
        </w:rPr>
        <w:t>риски</w:t>
      </w:r>
      <w:r w:rsidRPr="001476EB">
        <w:rPr>
          <w:rFonts w:ascii="Times New Roman" w:hAnsi="Times New Roman" w:cs="Times New Roman"/>
          <w:sz w:val="24"/>
          <w:szCs w:val="24"/>
          <w:lang w:val="en-US"/>
        </w:rPr>
        <w:t xml:space="preserve">: </w:t>
      </w:r>
      <w:r w:rsidRPr="00E1221A">
        <w:rPr>
          <w:rFonts w:ascii="Times New Roman" w:hAnsi="Times New Roman" w:cs="Times New Roman"/>
          <w:sz w:val="24"/>
          <w:szCs w:val="24"/>
        </w:rPr>
        <w:t>расширенная</w:t>
      </w:r>
      <w:r w:rsidRPr="001476EB">
        <w:rPr>
          <w:rFonts w:ascii="Times New Roman" w:hAnsi="Times New Roman" w:cs="Times New Roman"/>
          <w:sz w:val="24"/>
          <w:szCs w:val="24"/>
          <w:lang w:val="en-US"/>
        </w:rPr>
        <w:t xml:space="preserve"> </w:t>
      </w:r>
      <w:r w:rsidRPr="00E1221A">
        <w:rPr>
          <w:rFonts w:ascii="Times New Roman" w:hAnsi="Times New Roman" w:cs="Times New Roman"/>
          <w:sz w:val="24"/>
          <w:szCs w:val="24"/>
        </w:rPr>
        <w:t>матрица</w:t>
      </w:r>
      <w:r w:rsidRPr="001476EB">
        <w:rPr>
          <w:rFonts w:ascii="Times New Roman" w:hAnsi="Times New Roman" w:cs="Times New Roman"/>
          <w:sz w:val="24"/>
          <w:szCs w:val="24"/>
          <w:lang w:val="en-US"/>
        </w:rPr>
        <w:t xml:space="preserve">. </w:t>
      </w:r>
      <w:r w:rsidRPr="00E1221A">
        <w:rPr>
          <w:rFonts w:ascii="Times New Roman" w:hAnsi="Times New Roman" w:cs="Times New Roman"/>
          <w:sz w:val="24"/>
          <w:szCs w:val="24"/>
          <w:lang w:val="en-US"/>
        </w:rPr>
        <w:t>Standard</w:t>
      </w:r>
      <w:r w:rsidRPr="009F46BB">
        <w:rPr>
          <w:rFonts w:ascii="Times New Roman" w:hAnsi="Times New Roman" w:cs="Times New Roman"/>
          <w:sz w:val="24"/>
          <w:szCs w:val="24"/>
          <w:lang w:val="en-US"/>
        </w:rPr>
        <w:t xml:space="preserve"> &amp;</w:t>
      </w:r>
      <w:proofErr w:type="spellStart"/>
      <w:r w:rsidRPr="00E1221A">
        <w:rPr>
          <w:rFonts w:ascii="Times New Roman" w:hAnsi="Times New Roman" w:cs="Times New Roman"/>
          <w:sz w:val="24"/>
          <w:szCs w:val="24"/>
          <w:lang w:val="en-US"/>
        </w:rPr>
        <w:t>Poors</w:t>
      </w:r>
      <w:proofErr w:type="spellEnd"/>
      <w:r w:rsidRPr="009F46BB">
        <w:rPr>
          <w:rFonts w:ascii="Times New Roman" w:hAnsi="Times New Roman" w:cs="Times New Roman"/>
          <w:sz w:val="24"/>
          <w:szCs w:val="24"/>
          <w:lang w:val="en-US"/>
        </w:rPr>
        <w:t>. 18.09.2012</w:t>
      </w:r>
      <w:r>
        <w:rPr>
          <w:rFonts w:ascii="Times New Roman" w:hAnsi="Times New Roman" w:cs="Times New Roman"/>
          <w:sz w:val="24"/>
          <w:szCs w:val="24"/>
          <w:lang w:val="en-US"/>
        </w:rPr>
        <w:t xml:space="preserve">; </w:t>
      </w:r>
      <w:r w:rsidRPr="00E1221A">
        <w:rPr>
          <w:rFonts w:ascii="Times New Roman" w:hAnsi="Times New Roman" w:cs="Times New Roman"/>
          <w:sz w:val="24"/>
          <w:szCs w:val="24"/>
          <w:lang w:val="en-US"/>
        </w:rPr>
        <w:t>Aerospace</w:t>
      </w:r>
      <w:r w:rsidRPr="009F46BB">
        <w:rPr>
          <w:rFonts w:ascii="Times New Roman" w:hAnsi="Times New Roman" w:cs="Times New Roman"/>
          <w:sz w:val="24"/>
          <w:szCs w:val="24"/>
          <w:lang w:val="en-US"/>
        </w:rPr>
        <w:t xml:space="preserve"> </w:t>
      </w:r>
      <w:r w:rsidRPr="00E1221A">
        <w:rPr>
          <w:rFonts w:ascii="Times New Roman" w:hAnsi="Times New Roman" w:cs="Times New Roman"/>
          <w:sz w:val="24"/>
          <w:szCs w:val="24"/>
          <w:lang w:val="en-US"/>
        </w:rPr>
        <w:t>and</w:t>
      </w:r>
      <w:r w:rsidRPr="009F46BB">
        <w:rPr>
          <w:rFonts w:ascii="Times New Roman" w:hAnsi="Times New Roman" w:cs="Times New Roman"/>
          <w:sz w:val="24"/>
          <w:szCs w:val="24"/>
          <w:lang w:val="en-US"/>
        </w:rPr>
        <w:t xml:space="preserve"> </w:t>
      </w:r>
      <w:proofErr w:type="spellStart"/>
      <w:r w:rsidRPr="00E1221A">
        <w:rPr>
          <w:rFonts w:ascii="Times New Roman" w:hAnsi="Times New Roman" w:cs="Times New Roman"/>
          <w:sz w:val="24"/>
          <w:szCs w:val="24"/>
          <w:lang w:val="en-US"/>
        </w:rPr>
        <w:t>Defence</w:t>
      </w:r>
      <w:proofErr w:type="spellEnd"/>
      <w:r w:rsidRPr="009F46BB">
        <w:rPr>
          <w:rFonts w:ascii="Times New Roman" w:hAnsi="Times New Roman" w:cs="Times New Roman"/>
          <w:sz w:val="24"/>
          <w:szCs w:val="24"/>
          <w:lang w:val="en-US"/>
        </w:rPr>
        <w:t xml:space="preserve"> </w:t>
      </w:r>
      <w:r w:rsidRPr="00E1221A">
        <w:rPr>
          <w:rFonts w:ascii="Times New Roman" w:hAnsi="Times New Roman" w:cs="Times New Roman"/>
          <w:sz w:val="24"/>
          <w:szCs w:val="24"/>
          <w:lang w:val="en-US"/>
        </w:rPr>
        <w:t>Methodology</w:t>
      </w:r>
      <w:r w:rsidRPr="009F46BB">
        <w:rPr>
          <w:rFonts w:ascii="Times New Roman" w:hAnsi="Times New Roman" w:cs="Times New Roman"/>
          <w:sz w:val="24"/>
          <w:szCs w:val="24"/>
          <w:lang w:val="en-US"/>
        </w:rPr>
        <w:t xml:space="preserve">. </w:t>
      </w:r>
      <w:proofErr w:type="spellStart"/>
      <w:r w:rsidRPr="00E1221A">
        <w:rPr>
          <w:rFonts w:ascii="Times New Roman" w:hAnsi="Times New Roman" w:cs="Times New Roman"/>
          <w:sz w:val="24"/>
          <w:szCs w:val="24"/>
          <w:lang w:val="en-US"/>
        </w:rPr>
        <w:t>Moodys</w:t>
      </w:r>
      <w:proofErr w:type="spellEnd"/>
      <w:r w:rsidRPr="00D56320">
        <w:rPr>
          <w:rFonts w:ascii="Times New Roman" w:hAnsi="Times New Roman" w:cs="Times New Roman"/>
          <w:sz w:val="24"/>
          <w:szCs w:val="24"/>
          <w:lang w:val="en-US"/>
        </w:rPr>
        <w:t xml:space="preserve"> </w:t>
      </w:r>
      <w:r w:rsidRPr="00E1221A">
        <w:rPr>
          <w:rFonts w:ascii="Times New Roman" w:hAnsi="Times New Roman" w:cs="Times New Roman"/>
          <w:sz w:val="24"/>
          <w:szCs w:val="24"/>
          <w:lang w:val="en-US"/>
        </w:rPr>
        <w:t>Investors</w:t>
      </w:r>
      <w:r w:rsidRPr="00D56320">
        <w:rPr>
          <w:rFonts w:ascii="Times New Roman" w:hAnsi="Times New Roman" w:cs="Times New Roman"/>
          <w:sz w:val="24"/>
          <w:szCs w:val="24"/>
          <w:lang w:val="en-US"/>
        </w:rPr>
        <w:t xml:space="preserve"> </w:t>
      </w:r>
      <w:r w:rsidRPr="00E1221A">
        <w:rPr>
          <w:rFonts w:ascii="Times New Roman" w:hAnsi="Times New Roman" w:cs="Times New Roman"/>
          <w:sz w:val="24"/>
          <w:szCs w:val="24"/>
          <w:lang w:val="en-US"/>
        </w:rPr>
        <w:t>Service</w:t>
      </w:r>
      <w:r w:rsidRPr="00D56320">
        <w:rPr>
          <w:rFonts w:ascii="Times New Roman" w:hAnsi="Times New Roman" w:cs="Times New Roman"/>
          <w:sz w:val="24"/>
          <w:szCs w:val="24"/>
          <w:lang w:val="en-US"/>
        </w:rPr>
        <w:t xml:space="preserve">. 07 </w:t>
      </w:r>
      <w:r w:rsidRPr="00E1221A">
        <w:rPr>
          <w:rFonts w:ascii="Times New Roman" w:hAnsi="Times New Roman" w:cs="Times New Roman"/>
          <w:sz w:val="24"/>
          <w:szCs w:val="24"/>
          <w:lang w:val="en-US"/>
        </w:rPr>
        <w:t>Jul</w:t>
      </w:r>
      <w:r w:rsidRPr="00D56320">
        <w:rPr>
          <w:rFonts w:ascii="Times New Roman" w:hAnsi="Times New Roman" w:cs="Times New Roman"/>
          <w:sz w:val="24"/>
          <w:szCs w:val="24"/>
          <w:lang w:val="en-US"/>
        </w:rPr>
        <w:t xml:space="preserve">. 2020 </w:t>
      </w:r>
      <w:r w:rsidRPr="00E1221A">
        <w:rPr>
          <w:rFonts w:ascii="Times New Roman" w:hAnsi="Times New Roman" w:cs="Times New Roman"/>
          <w:sz w:val="24"/>
          <w:szCs w:val="24"/>
          <w:lang w:val="en-US"/>
        </w:rPr>
        <w:t>Manufacturing</w:t>
      </w:r>
      <w:r w:rsidRPr="00D56320">
        <w:rPr>
          <w:rFonts w:ascii="Times New Roman" w:hAnsi="Times New Roman" w:cs="Times New Roman"/>
          <w:sz w:val="24"/>
          <w:szCs w:val="24"/>
          <w:lang w:val="en-US"/>
        </w:rPr>
        <w:t xml:space="preserve"> </w:t>
      </w:r>
      <w:r w:rsidRPr="00E1221A">
        <w:rPr>
          <w:rFonts w:ascii="Times New Roman" w:hAnsi="Times New Roman" w:cs="Times New Roman"/>
          <w:sz w:val="24"/>
          <w:szCs w:val="24"/>
          <w:lang w:val="en-US"/>
        </w:rPr>
        <w:t>Methodology</w:t>
      </w:r>
      <w:r w:rsidRPr="00D56320">
        <w:rPr>
          <w:rFonts w:ascii="Times New Roman" w:hAnsi="Times New Roman" w:cs="Times New Roman"/>
          <w:sz w:val="24"/>
          <w:szCs w:val="24"/>
          <w:lang w:val="en-US"/>
        </w:rPr>
        <w:t xml:space="preserve">. </w:t>
      </w:r>
      <w:proofErr w:type="spellStart"/>
      <w:r w:rsidRPr="00E1221A">
        <w:rPr>
          <w:rFonts w:ascii="Times New Roman" w:hAnsi="Times New Roman" w:cs="Times New Roman"/>
          <w:sz w:val="24"/>
          <w:szCs w:val="24"/>
          <w:lang w:val="en-US"/>
        </w:rPr>
        <w:t>Moodys</w:t>
      </w:r>
      <w:proofErr w:type="spellEnd"/>
      <w:r w:rsidRPr="001476EB">
        <w:rPr>
          <w:rFonts w:ascii="Times New Roman" w:hAnsi="Times New Roman" w:cs="Times New Roman"/>
          <w:sz w:val="24"/>
          <w:szCs w:val="24"/>
        </w:rPr>
        <w:t xml:space="preserve"> </w:t>
      </w:r>
      <w:r w:rsidRPr="00E1221A">
        <w:rPr>
          <w:rFonts w:ascii="Times New Roman" w:hAnsi="Times New Roman" w:cs="Times New Roman"/>
          <w:sz w:val="24"/>
          <w:szCs w:val="24"/>
          <w:lang w:val="en-US"/>
        </w:rPr>
        <w:t>Investors</w:t>
      </w:r>
      <w:r w:rsidRPr="001476EB">
        <w:rPr>
          <w:rFonts w:ascii="Times New Roman" w:hAnsi="Times New Roman" w:cs="Times New Roman"/>
          <w:sz w:val="24"/>
          <w:szCs w:val="24"/>
        </w:rPr>
        <w:t xml:space="preserve"> </w:t>
      </w:r>
      <w:r w:rsidRPr="00E1221A">
        <w:rPr>
          <w:rFonts w:ascii="Times New Roman" w:hAnsi="Times New Roman" w:cs="Times New Roman"/>
          <w:sz w:val="24"/>
          <w:szCs w:val="24"/>
          <w:lang w:val="en-US"/>
        </w:rPr>
        <w:t>Service</w:t>
      </w:r>
      <w:r w:rsidRPr="001476EB">
        <w:rPr>
          <w:rFonts w:ascii="Times New Roman" w:hAnsi="Times New Roman" w:cs="Times New Roman"/>
          <w:sz w:val="24"/>
          <w:szCs w:val="24"/>
        </w:rPr>
        <w:t xml:space="preserve">. 3. </w:t>
      </w:r>
      <w:r w:rsidRPr="00E1221A">
        <w:rPr>
          <w:rFonts w:ascii="Times New Roman" w:hAnsi="Times New Roman" w:cs="Times New Roman"/>
          <w:sz w:val="24"/>
          <w:szCs w:val="24"/>
          <w:lang w:val="en-US"/>
        </w:rPr>
        <w:t>March</w:t>
      </w:r>
      <w:r w:rsidRPr="001476EB">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0B4F6D">
        <w:rPr>
          <w:rFonts w:ascii="Times New Roman" w:hAnsi="Times New Roman" w:cs="Times New Roman"/>
          <w:sz w:val="24"/>
          <w:szCs w:val="24"/>
        </w:rPr>
        <w:t xml:space="preserve">Методология присвоения рейтингов организациям, связанным с государством. </w:t>
      </w:r>
      <w:r w:rsidRPr="000B4F6D">
        <w:rPr>
          <w:rFonts w:ascii="Times New Roman" w:hAnsi="Times New Roman" w:cs="Times New Roman"/>
          <w:sz w:val="24"/>
          <w:szCs w:val="24"/>
          <w:lang w:val="en-US"/>
        </w:rPr>
        <w:t>Standard</w:t>
      </w:r>
      <w:r w:rsidRPr="002456FF">
        <w:rPr>
          <w:rFonts w:ascii="Times New Roman" w:hAnsi="Times New Roman" w:cs="Times New Roman"/>
          <w:sz w:val="24"/>
          <w:szCs w:val="24"/>
          <w:lang w:val="en-US"/>
        </w:rPr>
        <w:t xml:space="preserve"> &amp;</w:t>
      </w:r>
      <w:proofErr w:type="spellStart"/>
      <w:r w:rsidRPr="000B4F6D">
        <w:rPr>
          <w:rFonts w:ascii="Times New Roman" w:hAnsi="Times New Roman" w:cs="Times New Roman"/>
          <w:sz w:val="24"/>
          <w:szCs w:val="24"/>
          <w:lang w:val="en-US"/>
        </w:rPr>
        <w:t>Poors</w:t>
      </w:r>
      <w:proofErr w:type="spellEnd"/>
      <w:r>
        <w:rPr>
          <w:rFonts w:ascii="Times New Roman" w:hAnsi="Times New Roman" w:cs="Times New Roman"/>
          <w:sz w:val="24"/>
          <w:szCs w:val="24"/>
          <w:lang w:val="en-US"/>
        </w:rPr>
        <w:t xml:space="preserve">. 25.03.2015; </w:t>
      </w:r>
      <w:r w:rsidRPr="00031912">
        <w:rPr>
          <w:rFonts w:ascii="Times New Roman" w:hAnsi="Times New Roman" w:cs="Times New Roman"/>
          <w:sz w:val="24"/>
          <w:szCs w:val="24"/>
          <w:lang w:val="en-US"/>
        </w:rPr>
        <w:t xml:space="preserve">Cross-sectoral Government-Related Issuers Methodology. </w:t>
      </w:r>
      <w:proofErr w:type="spellStart"/>
      <w:r w:rsidRPr="00031912">
        <w:rPr>
          <w:rFonts w:ascii="Times New Roman" w:hAnsi="Times New Roman" w:cs="Times New Roman"/>
          <w:sz w:val="24"/>
          <w:szCs w:val="24"/>
          <w:lang w:val="en-US"/>
        </w:rPr>
        <w:t>Moodys</w:t>
      </w:r>
      <w:proofErr w:type="spellEnd"/>
      <w:r w:rsidRPr="00D56320">
        <w:rPr>
          <w:rFonts w:ascii="Times New Roman" w:hAnsi="Times New Roman" w:cs="Times New Roman"/>
          <w:sz w:val="24"/>
          <w:szCs w:val="24"/>
          <w:lang w:val="en-US"/>
        </w:rPr>
        <w:t xml:space="preserve"> </w:t>
      </w:r>
      <w:r w:rsidRPr="00031912">
        <w:rPr>
          <w:rFonts w:ascii="Times New Roman" w:hAnsi="Times New Roman" w:cs="Times New Roman"/>
          <w:sz w:val="24"/>
          <w:szCs w:val="24"/>
          <w:lang w:val="en-US"/>
        </w:rPr>
        <w:t>Investors</w:t>
      </w:r>
      <w:r w:rsidRPr="00D56320">
        <w:rPr>
          <w:rFonts w:ascii="Times New Roman" w:hAnsi="Times New Roman" w:cs="Times New Roman"/>
          <w:sz w:val="24"/>
          <w:szCs w:val="24"/>
          <w:lang w:val="en-US"/>
        </w:rPr>
        <w:t xml:space="preserve"> </w:t>
      </w:r>
      <w:r w:rsidRPr="00031912">
        <w:rPr>
          <w:rFonts w:ascii="Times New Roman" w:hAnsi="Times New Roman" w:cs="Times New Roman"/>
          <w:sz w:val="24"/>
          <w:szCs w:val="24"/>
          <w:lang w:val="en-US"/>
        </w:rPr>
        <w:t>Service</w:t>
      </w:r>
      <w:r w:rsidRPr="00D56320">
        <w:rPr>
          <w:rFonts w:ascii="Times New Roman" w:hAnsi="Times New Roman" w:cs="Times New Roman"/>
          <w:sz w:val="24"/>
          <w:szCs w:val="24"/>
          <w:lang w:val="en-US"/>
        </w:rPr>
        <w:t xml:space="preserve">. </w:t>
      </w:r>
      <w:r w:rsidRPr="002456FF">
        <w:rPr>
          <w:rFonts w:ascii="Times New Roman" w:hAnsi="Times New Roman" w:cs="Times New Roman"/>
          <w:sz w:val="24"/>
          <w:szCs w:val="24"/>
        </w:rPr>
        <w:t xml:space="preserve">21 </w:t>
      </w:r>
      <w:r w:rsidRPr="00031912">
        <w:rPr>
          <w:rFonts w:ascii="Times New Roman" w:hAnsi="Times New Roman" w:cs="Times New Roman"/>
          <w:sz w:val="24"/>
          <w:szCs w:val="24"/>
          <w:lang w:val="en-US"/>
        </w:rPr>
        <w:t>Feb</w:t>
      </w:r>
      <w:r w:rsidRPr="002456FF">
        <w:rPr>
          <w:rFonts w:ascii="Times New Roman" w:hAnsi="Times New Roman" w:cs="Times New Roman"/>
          <w:sz w:val="24"/>
          <w:szCs w:val="24"/>
        </w:rPr>
        <w:t xml:space="preserve"> 2020. </w:t>
      </w:r>
      <w:r>
        <w:rPr>
          <w:rFonts w:ascii="Times New Roman" w:hAnsi="Times New Roman" w:cs="Times New Roman"/>
          <w:sz w:val="24"/>
          <w:szCs w:val="24"/>
          <w:lang w:val="en-US"/>
        </w:rPr>
        <w:t>P</w:t>
      </w:r>
      <w:r w:rsidRPr="002456FF">
        <w:rPr>
          <w:rFonts w:ascii="Times New Roman" w:hAnsi="Times New Roman" w:cs="Times New Roman"/>
          <w:sz w:val="24"/>
          <w:szCs w:val="24"/>
        </w:rPr>
        <w:t>.7</w:t>
      </w:r>
      <w:proofErr w:type="gramStart"/>
      <w:r w:rsidRPr="002456FF">
        <w:rPr>
          <w:rFonts w:ascii="Times New Roman" w:hAnsi="Times New Roman" w:cs="Times New Roman"/>
          <w:sz w:val="24"/>
          <w:szCs w:val="24"/>
        </w:rPr>
        <w:t>,10</w:t>
      </w:r>
      <w:proofErr w:type="gramEnd"/>
      <w:r w:rsidRPr="002456FF">
        <w:rPr>
          <w:rFonts w:ascii="Times New Roman" w:hAnsi="Times New Roman" w:cs="Times New Roman"/>
          <w:sz w:val="24"/>
          <w:szCs w:val="24"/>
        </w:rPr>
        <w:t>.</w:t>
      </w:r>
    </w:p>
  </w:footnote>
  <w:footnote w:id="3">
    <w:p w:rsidR="000A48F3" w:rsidRDefault="000A48F3" w:rsidP="00820E96">
      <w:pPr>
        <w:pStyle w:val="a8"/>
        <w:ind w:firstLine="709"/>
        <w:jc w:val="both"/>
      </w:pPr>
      <w:r>
        <w:rPr>
          <w:rStyle w:val="aa"/>
        </w:rPr>
        <w:footnoteRef/>
      </w:r>
      <w:r>
        <w:t xml:space="preserve"> </w:t>
      </w:r>
      <w:r w:rsidR="00820E96" w:rsidRPr="00484E7C">
        <w:rPr>
          <w:rFonts w:ascii="Times New Roman" w:hAnsi="Times New Roman" w:cs="Times New Roman"/>
          <w:i/>
          <w:sz w:val="24"/>
          <w:szCs w:val="24"/>
        </w:rPr>
        <w:t>Данилова Н.Л.</w:t>
      </w:r>
      <w:r w:rsidR="00820E96">
        <w:rPr>
          <w:rFonts w:ascii="Times New Roman" w:hAnsi="Times New Roman" w:cs="Times New Roman"/>
          <w:sz w:val="24"/>
          <w:szCs w:val="24"/>
        </w:rPr>
        <w:t xml:space="preserve"> Сущность и проблемы анализа финансовой устойчивости коммерческого предприятия // Концепт. 2014. № 2. С. 4-8; </w:t>
      </w:r>
      <w:r w:rsidR="00820E96" w:rsidRPr="00A64275">
        <w:rPr>
          <w:rFonts w:ascii="Times New Roman" w:hAnsi="Times New Roman" w:cs="Times New Roman"/>
          <w:i/>
          <w:sz w:val="24"/>
          <w:szCs w:val="24"/>
        </w:rPr>
        <w:t>Попова Ю.Е</w:t>
      </w:r>
      <w:r w:rsidR="00820E96" w:rsidRPr="00A64275">
        <w:rPr>
          <w:rFonts w:ascii="Times New Roman" w:hAnsi="Times New Roman" w:cs="Times New Roman"/>
          <w:sz w:val="24"/>
          <w:szCs w:val="24"/>
        </w:rPr>
        <w:t xml:space="preserve">., </w:t>
      </w:r>
      <w:proofErr w:type="spellStart"/>
      <w:r w:rsidR="00820E96" w:rsidRPr="00A64275">
        <w:rPr>
          <w:rFonts w:ascii="Times New Roman" w:hAnsi="Times New Roman" w:cs="Times New Roman"/>
          <w:i/>
          <w:sz w:val="24"/>
          <w:szCs w:val="24"/>
        </w:rPr>
        <w:t>Почекаева</w:t>
      </w:r>
      <w:proofErr w:type="spellEnd"/>
      <w:r w:rsidR="00820E96" w:rsidRPr="00A64275">
        <w:rPr>
          <w:rFonts w:ascii="Times New Roman" w:hAnsi="Times New Roman" w:cs="Times New Roman"/>
          <w:i/>
          <w:sz w:val="24"/>
          <w:szCs w:val="24"/>
        </w:rPr>
        <w:t xml:space="preserve"> О.В.</w:t>
      </w:r>
      <w:r w:rsidR="00820E96" w:rsidRPr="00A64275">
        <w:rPr>
          <w:rFonts w:ascii="Times New Roman" w:hAnsi="Times New Roman" w:cs="Times New Roman"/>
          <w:sz w:val="24"/>
          <w:szCs w:val="24"/>
        </w:rPr>
        <w:t xml:space="preserve"> Оценка финансовой устойчивости организации и пути ее повышения // </w:t>
      </w:r>
      <w:r w:rsidR="00820E96">
        <w:rPr>
          <w:rFonts w:ascii="Times New Roman" w:hAnsi="Times New Roman" w:cs="Times New Roman"/>
          <w:sz w:val="24"/>
          <w:szCs w:val="24"/>
        </w:rPr>
        <w:t>Э</w:t>
      </w:r>
      <w:r w:rsidR="00820E96" w:rsidRPr="00A64275">
        <w:rPr>
          <w:rFonts w:ascii="Times New Roman" w:hAnsi="Times New Roman" w:cs="Times New Roman"/>
          <w:sz w:val="24"/>
          <w:szCs w:val="24"/>
        </w:rPr>
        <w:t xml:space="preserve">кономические исследования и разработки. 2019. </w:t>
      </w:r>
      <w:r w:rsidR="00820E96">
        <w:rPr>
          <w:rFonts w:ascii="Times New Roman" w:hAnsi="Times New Roman" w:cs="Times New Roman"/>
          <w:sz w:val="24"/>
          <w:szCs w:val="24"/>
        </w:rPr>
        <w:t>Режим доступа:</w:t>
      </w:r>
      <w:r w:rsidR="00820E96" w:rsidRPr="00A64275">
        <w:rPr>
          <w:rFonts w:ascii="Times New Roman" w:hAnsi="Times New Roman" w:cs="Times New Roman"/>
          <w:sz w:val="24"/>
          <w:szCs w:val="24"/>
        </w:rPr>
        <w:t xml:space="preserve"> </w:t>
      </w:r>
      <w:r w:rsidR="00820E96" w:rsidRPr="00A64275">
        <w:rPr>
          <w:rFonts w:ascii="Times New Roman" w:hAnsi="Times New Roman" w:cs="Times New Roman"/>
          <w:sz w:val="24"/>
          <w:szCs w:val="24"/>
          <w:lang w:val="en-US"/>
        </w:rPr>
        <w:t>http</w:t>
      </w:r>
      <w:r w:rsidR="00820E96" w:rsidRPr="00A64275">
        <w:rPr>
          <w:rFonts w:ascii="Times New Roman" w:hAnsi="Times New Roman" w:cs="Times New Roman"/>
          <w:sz w:val="24"/>
          <w:szCs w:val="24"/>
        </w:rPr>
        <w:t xml:space="preserve">: </w:t>
      </w:r>
      <w:r w:rsidR="00820E96" w:rsidRPr="00484E7C">
        <w:rPr>
          <w:rFonts w:ascii="Times New Roman" w:hAnsi="Times New Roman" w:cs="Times New Roman"/>
          <w:sz w:val="24"/>
          <w:szCs w:val="24"/>
        </w:rPr>
        <w:t>//</w:t>
      </w:r>
      <w:proofErr w:type="spellStart"/>
      <w:r w:rsidR="00820E96" w:rsidRPr="00A64275">
        <w:rPr>
          <w:rFonts w:ascii="Times New Roman" w:hAnsi="Times New Roman" w:cs="Times New Roman"/>
          <w:sz w:val="24"/>
          <w:szCs w:val="24"/>
          <w:lang w:val="en-US"/>
        </w:rPr>
        <w:t>edrj</w:t>
      </w:r>
      <w:proofErr w:type="spellEnd"/>
      <w:r w:rsidR="00820E96" w:rsidRPr="00484E7C">
        <w:rPr>
          <w:rFonts w:ascii="Times New Roman" w:hAnsi="Times New Roman" w:cs="Times New Roman"/>
          <w:sz w:val="24"/>
          <w:szCs w:val="24"/>
        </w:rPr>
        <w:t>.</w:t>
      </w:r>
      <w:proofErr w:type="spellStart"/>
      <w:r w:rsidR="00820E96" w:rsidRPr="00A64275">
        <w:rPr>
          <w:rFonts w:ascii="Times New Roman" w:hAnsi="Times New Roman" w:cs="Times New Roman"/>
          <w:sz w:val="24"/>
          <w:szCs w:val="24"/>
          <w:lang w:val="en-US"/>
        </w:rPr>
        <w:t>ru</w:t>
      </w:r>
      <w:proofErr w:type="spellEnd"/>
      <w:r w:rsidR="00820E96" w:rsidRPr="00484E7C">
        <w:rPr>
          <w:rFonts w:ascii="Times New Roman" w:hAnsi="Times New Roman" w:cs="Times New Roman"/>
          <w:sz w:val="24"/>
          <w:szCs w:val="24"/>
        </w:rPr>
        <w:t>/</w:t>
      </w:r>
      <w:r w:rsidR="00820E96" w:rsidRPr="00A64275">
        <w:rPr>
          <w:rFonts w:ascii="Times New Roman" w:hAnsi="Times New Roman" w:cs="Times New Roman"/>
          <w:sz w:val="24"/>
          <w:szCs w:val="24"/>
          <w:lang w:val="en-US"/>
        </w:rPr>
        <w:t>article</w:t>
      </w:r>
      <w:r w:rsidR="00820E96" w:rsidRPr="00484E7C">
        <w:rPr>
          <w:rFonts w:ascii="Times New Roman" w:hAnsi="Times New Roman" w:cs="Times New Roman"/>
          <w:sz w:val="24"/>
          <w:szCs w:val="24"/>
        </w:rPr>
        <w:t>/13-07-19</w:t>
      </w:r>
      <w:r w:rsidR="00820E96">
        <w:rPr>
          <w:rFonts w:ascii="Times New Roman" w:hAnsi="Times New Roman" w:cs="Times New Roman"/>
          <w:sz w:val="24"/>
          <w:szCs w:val="24"/>
        </w:rPr>
        <w:t xml:space="preserve">; </w:t>
      </w:r>
      <w:proofErr w:type="spellStart"/>
      <w:r w:rsidR="00820E96" w:rsidRPr="007A289A">
        <w:rPr>
          <w:rFonts w:ascii="Times New Roman" w:hAnsi="Times New Roman" w:cs="Times New Roman"/>
          <w:i/>
          <w:sz w:val="24"/>
          <w:szCs w:val="24"/>
        </w:rPr>
        <w:t>Ризоев</w:t>
      </w:r>
      <w:proofErr w:type="spellEnd"/>
      <w:r w:rsidR="00820E96" w:rsidRPr="007A289A">
        <w:rPr>
          <w:rFonts w:ascii="Times New Roman" w:hAnsi="Times New Roman" w:cs="Times New Roman"/>
          <w:i/>
          <w:sz w:val="24"/>
          <w:szCs w:val="24"/>
        </w:rPr>
        <w:t xml:space="preserve"> Ф.У.</w:t>
      </w:r>
      <w:r w:rsidR="00820E96">
        <w:rPr>
          <w:rFonts w:ascii="Times New Roman" w:hAnsi="Times New Roman" w:cs="Times New Roman"/>
          <w:sz w:val="24"/>
          <w:szCs w:val="24"/>
        </w:rPr>
        <w:t xml:space="preserve"> Классификация методов оценки финансового состояния коммерческих организаций // Экономика и бизнес: теория и практика. 2015. № 10. С. 117-121;  </w:t>
      </w:r>
      <w:r w:rsidR="00820E96" w:rsidRPr="00DA5337">
        <w:rPr>
          <w:rFonts w:ascii="Times New Roman" w:hAnsi="Times New Roman" w:cs="Times New Roman"/>
          <w:i/>
          <w:sz w:val="24"/>
          <w:szCs w:val="24"/>
        </w:rPr>
        <w:t xml:space="preserve">Бороухин Д.С., Царева С.В., </w:t>
      </w:r>
      <w:proofErr w:type="spellStart"/>
      <w:r w:rsidR="00820E96" w:rsidRPr="00DA5337">
        <w:rPr>
          <w:rFonts w:ascii="Times New Roman" w:hAnsi="Times New Roman" w:cs="Times New Roman"/>
          <w:i/>
          <w:sz w:val="24"/>
          <w:szCs w:val="24"/>
        </w:rPr>
        <w:t>Гапоненкова</w:t>
      </w:r>
      <w:proofErr w:type="spellEnd"/>
      <w:r w:rsidR="00820E96" w:rsidRPr="00DA5337">
        <w:rPr>
          <w:rFonts w:ascii="Times New Roman" w:hAnsi="Times New Roman" w:cs="Times New Roman"/>
          <w:i/>
          <w:sz w:val="24"/>
          <w:szCs w:val="24"/>
        </w:rPr>
        <w:t xml:space="preserve"> Н.Б.</w:t>
      </w:r>
      <w:r w:rsidR="00820E96">
        <w:rPr>
          <w:rFonts w:ascii="Times New Roman" w:hAnsi="Times New Roman" w:cs="Times New Roman"/>
          <w:sz w:val="24"/>
          <w:szCs w:val="24"/>
        </w:rPr>
        <w:t xml:space="preserve"> и др. Финансовый анализ: риски, кредитоспособность, </w:t>
      </w:r>
      <w:r w:rsidR="00820E96" w:rsidRPr="00E01F30">
        <w:rPr>
          <w:rFonts w:ascii="Times New Roman" w:hAnsi="Times New Roman" w:cs="Times New Roman"/>
          <w:sz w:val="24"/>
          <w:szCs w:val="24"/>
        </w:rPr>
        <w:t>инвестиции. М.: Изд-во Академии Естествознания, 2013</w:t>
      </w:r>
      <w:r w:rsidR="00C23723">
        <w:rPr>
          <w:rFonts w:ascii="Times New Roman" w:hAnsi="Times New Roman" w:cs="Times New Roman"/>
          <w:sz w:val="24"/>
          <w:szCs w:val="24"/>
        </w:rPr>
        <w:t>; Исследование финансового потенциала системообразующих предприятий России – точек роста инновационной экономики</w:t>
      </w:r>
      <w:r w:rsidR="008909F4">
        <w:rPr>
          <w:rFonts w:ascii="Times New Roman" w:hAnsi="Times New Roman" w:cs="Times New Roman"/>
          <w:sz w:val="24"/>
          <w:szCs w:val="24"/>
        </w:rPr>
        <w:t xml:space="preserve">. </w:t>
      </w:r>
      <w:r w:rsidR="00C23723">
        <w:rPr>
          <w:rFonts w:ascii="Times New Roman" w:hAnsi="Times New Roman" w:cs="Times New Roman"/>
          <w:sz w:val="24"/>
          <w:szCs w:val="24"/>
        </w:rPr>
        <w:t>Монография</w:t>
      </w:r>
      <w:r w:rsidR="00820E96" w:rsidRPr="00E01F30">
        <w:rPr>
          <w:rFonts w:ascii="Times New Roman" w:hAnsi="Times New Roman" w:cs="Times New Roman"/>
          <w:sz w:val="24"/>
          <w:szCs w:val="24"/>
        </w:rPr>
        <w:t>.</w:t>
      </w:r>
      <w:r w:rsidR="00C23723">
        <w:rPr>
          <w:rFonts w:ascii="Times New Roman" w:hAnsi="Times New Roman" w:cs="Times New Roman"/>
          <w:sz w:val="24"/>
          <w:szCs w:val="24"/>
        </w:rPr>
        <w:t xml:space="preserve"> М.: Финансовый ун-т при Правительстве РФ, 2012. 172 с.</w:t>
      </w:r>
    </w:p>
  </w:footnote>
  <w:footnote w:id="4">
    <w:p w:rsidR="00AA231C" w:rsidRPr="001476EB" w:rsidRDefault="00AA231C" w:rsidP="001476EB">
      <w:pPr>
        <w:pStyle w:val="a8"/>
        <w:ind w:firstLine="709"/>
        <w:jc w:val="both"/>
        <w:rPr>
          <w:rFonts w:ascii="Times New Roman" w:hAnsi="Times New Roman" w:cs="Times New Roman"/>
          <w:sz w:val="24"/>
          <w:szCs w:val="24"/>
        </w:rPr>
      </w:pPr>
      <w:r w:rsidRPr="001476EB">
        <w:rPr>
          <w:rStyle w:val="aa"/>
          <w:rFonts w:ascii="Times New Roman" w:hAnsi="Times New Roman" w:cs="Times New Roman"/>
          <w:sz w:val="24"/>
          <w:szCs w:val="24"/>
        </w:rPr>
        <w:footnoteRef/>
      </w:r>
      <w:r w:rsidRPr="001476EB">
        <w:rPr>
          <w:rFonts w:ascii="Times New Roman" w:hAnsi="Times New Roman" w:cs="Times New Roman"/>
          <w:sz w:val="24"/>
          <w:szCs w:val="24"/>
        </w:rPr>
        <w:t xml:space="preserve"> Методология присвоения кредитных рейтингов нефинансовым компаниям по национальной шкале для Российской Федерации. Рейтинговое агентство «АКРА»; </w:t>
      </w:r>
      <w:r w:rsidR="001476EB" w:rsidRPr="001476EB">
        <w:rPr>
          <w:rFonts w:ascii="Times New Roman" w:hAnsi="Times New Roman" w:cs="Times New Roman"/>
          <w:sz w:val="24"/>
          <w:szCs w:val="24"/>
        </w:rPr>
        <w:t>Методология присвоения рейтингов кредитоспособности нефинансовым организациям (утверждена на заседании методологического комитета № 256 от 24.08.2020). Рейтинговое агентство «Эксперт РА»</w:t>
      </w:r>
      <w:r w:rsidR="00B36E7B">
        <w:rPr>
          <w:rFonts w:ascii="Times New Roman" w:hAnsi="Times New Roman" w:cs="Times New Roman"/>
          <w:sz w:val="24"/>
          <w:szCs w:val="24"/>
        </w:rPr>
        <w:t xml:space="preserve">; </w:t>
      </w:r>
      <w:r w:rsidR="00B36E7B" w:rsidRPr="001476EB">
        <w:rPr>
          <w:rFonts w:ascii="Times New Roman" w:hAnsi="Times New Roman" w:cs="Times New Roman"/>
          <w:sz w:val="24"/>
          <w:szCs w:val="24"/>
        </w:rPr>
        <w:t xml:space="preserve">Методология присвоения рейтингов кредитоспособности </w:t>
      </w:r>
      <w:r w:rsidR="00B36E7B">
        <w:rPr>
          <w:rFonts w:ascii="Times New Roman" w:hAnsi="Times New Roman" w:cs="Times New Roman"/>
          <w:sz w:val="24"/>
          <w:szCs w:val="24"/>
        </w:rPr>
        <w:t>банкам</w:t>
      </w:r>
      <w:r w:rsidR="00B36E7B" w:rsidRPr="001476EB">
        <w:rPr>
          <w:rFonts w:ascii="Times New Roman" w:hAnsi="Times New Roman" w:cs="Times New Roman"/>
          <w:sz w:val="24"/>
          <w:szCs w:val="24"/>
        </w:rPr>
        <w:t xml:space="preserve"> (утверждена на заседании методологического комитета № 2</w:t>
      </w:r>
      <w:r w:rsidR="00B36E7B">
        <w:rPr>
          <w:rFonts w:ascii="Times New Roman" w:hAnsi="Times New Roman" w:cs="Times New Roman"/>
          <w:sz w:val="24"/>
          <w:szCs w:val="24"/>
        </w:rPr>
        <w:t>48</w:t>
      </w:r>
      <w:r w:rsidR="00B36E7B" w:rsidRPr="001476EB">
        <w:rPr>
          <w:rFonts w:ascii="Times New Roman" w:hAnsi="Times New Roman" w:cs="Times New Roman"/>
          <w:sz w:val="24"/>
          <w:szCs w:val="24"/>
        </w:rPr>
        <w:t xml:space="preserve"> от 2</w:t>
      </w:r>
      <w:r w:rsidR="00B36E7B">
        <w:rPr>
          <w:rFonts w:ascii="Times New Roman" w:hAnsi="Times New Roman" w:cs="Times New Roman"/>
          <w:sz w:val="24"/>
          <w:szCs w:val="24"/>
        </w:rPr>
        <w:t>7</w:t>
      </w:r>
      <w:r w:rsidR="00B36E7B" w:rsidRPr="001476EB">
        <w:rPr>
          <w:rFonts w:ascii="Times New Roman" w:hAnsi="Times New Roman" w:cs="Times New Roman"/>
          <w:sz w:val="24"/>
          <w:szCs w:val="24"/>
        </w:rPr>
        <w:t>.0</w:t>
      </w:r>
      <w:r w:rsidR="00B36E7B">
        <w:rPr>
          <w:rFonts w:ascii="Times New Roman" w:hAnsi="Times New Roman" w:cs="Times New Roman"/>
          <w:sz w:val="24"/>
          <w:szCs w:val="24"/>
        </w:rPr>
        <w:t>7</w:t>
      </w:r>
      <w:r w:rsidR="00B36E7B" w:rsidRPr="001476EB">
        <w:rPr>
          <w:rFonts w:ascii="Times New Roman" w:hAnsi="Times New Roman" w:cs="Times New Roman"/>
          <w:sz w:val="24"/>
          <w:szCs w:val="24"/>
        </w:rPr>
        <w:t>.2020). Рейтинговое агентство «Эксперт РА».</w:t>
      </w:r>
    </w:p>
  </w:footnote>
  <w:footnote w:id="5">
    <w:p w:rsidR="00CD2AAC" w:rsidRPr="00484E7C" w:rsidRDefault="00CD2AAC" w:rsidP="00E01CF2">
      <w:pPr>
        <w:pStyle w:val="a8"/>
        <w:ind w:firstLine="709"/>
        <w:jc w:val="both"/>
        <w:rPr>
          <w:rFonts w:ascii="Times New Roman" w:hAnsi="Times New Roman" w:cs="Times New Roman"/>
          <w:sz w:val="24"/>
          <w:szCs w:val="24"/>
        </w:rPr>
      </w:pPr>
      <w:r w:rsidRPr="00E01CF2">
        <w:rPr>
          <w:rStyle w:val="aa"/>
          <w:rFonts w:ascii="Times New Roman" w:hAnsi="Times New Roman" w:cs="Times New Roman"/>
          <w:sz w:val="24"/>
          <w:szCs w:val="24"/>
        </w:rPr>
        <w:footnoteRef/>
      </w:r>
      <w:r w:rsidRPr="00E01CF2">
        <w:rPr>
          <w:rFonts w:ascii="Times New Roman" w:hAnsi="Times New Roman" w:cs="Times New Roman"/>
          <w:sz w:val="24"/>
          <w:szCs w:val="24"/>
        </w:rPr>
        <w:t xml:space="preserve"> Оценка </w:t>
      </w:r>
      <w:r w:rsidR="00A42A44" w:rsidRPr="00E01CF2">
        <w:rPr>
          <w:rFonts w:ascii="Times New Roman" w:hAnsi="Times New Roman" w:cs="Times New Roman"/>
          <w:sz w:val="24"/>
          <w:szCs w:val="24"/>
        </w:rPr>
        <w:t>финансовой устойчивости и платежеспособности российских компаний //</w:t>
      </w:r>
      <w:r w:rsidR="00E01CF2" w:rsidRPr="00E01CF2">
        <w:rPr>
          <w:rFonts w:ascii="Times New Roman" w:hAnsi="Times New Roman" w:cs="Times New Roman"/>
          <w:sz w:val="24"/>
          <w:szCs w:val="24"/>
        </w:rPr>
        <w:t xml:space="preserve"> Электронный журнал «Финансовый менеджмент». Режим доступа: </w:t>
      </w:r>
      <w:r w:rsidR="00E01CF2" w:rsidRPr="00E01CF2">
        <w:rPr>
          <w:rFonts w:ascii="Times New Roman" w:hAnsi="Times New Roman" w:cs="Times New Roman"/>
          <w:sz w:val="24"/>
          <w:szCs w:val="24"/>
          <w:lang w:val="en-US"/>
        </w:rPr>
        <w:t>http</w:t>
      </w:r>
      <w:r w:rsidR="00E01CF2" w:rsidRPr="00E01CF2">
        <w:rPr>
          <w:rFonts w:ascii="Times New Roman" w:hAnsi="Times New Roman" w:cs="Times New Roman"/>
          <w:sz w:val="24"/>
          <w:szCs w:val="24"/>
        </w:rPr>
        <w:t>://</w:t>
      </w:r>
      <w:r w:rsidR="00E01CF2" w:rsidRPr="00E01CF2">
        <w:rPr>
          <w:rFonts w:ascii="Times New Roman" w:hAnsi="Times New Roman" w:cs="Times New Roman"/>
          <w:sz w:val="24"/>
          <w:szCs w:val="24"/>
          <w:lang w:val="en-US"/>
        </w:rPr>
        <w:t>www</w:t>
      </w:r>
      <w:r w:rsidR="00E01CF2" w:rsidRPr="00484E7C">
        <w:rPr>
          <w:rFonts w:ascii="Times New Roman" w:hAnsi="Times New Roman" w:cs="Times New Roman"/>
          <w:sz w:val="24"/>
          <w:szCs w:val="24"/>
        </w:rPr>
        <w:t>.</w:t>
      </w:r>
      <w:proofErr w:type="spellStart"/>
      <w:r w:rsidR="00E01CF2" w:rsidRPr="00E01CF2">
        <w:rPr>
          <w:rFonts w:ascii="Times New Roman" w:hAnsi="Times New Roman" w:cs="Times New Roman"/>
          <w:sz w:val="24"/>
          <w:szCs w:val="24"/>
          <w:lang w:val="en-US"/>
        </w:rPr>
        <w:t>finman</w:t>
      </w:r>
      <w:proofErr w:type="spellEnd"/>
      <w:r w:rsidR="00E01CF2" w:rsidRPr="00484E7C">
        <w:rPr>
          <w:rFonts w:ascii="Times New Roman" w:hAnsi="Times New Roman" w:cs="Times New Roman"/>
          <w:sz w:val="24"/>
          <w:szCs w:val="24"/>
        </w:rPr>
        <w:t>.</w:t>
      </w:r>
      <w:proofErr w:type="spellStart"/>
      <w:r w:rsidR="00E01CF2" w:rsidRPr="00E01CF2">
        <w:rPr>
          <w:rFonts w:ascii="Times New Roman" w:hAnsi="Times New Roman" w:cs="Times New Roman"/>
          <w:sz w:val="24"/>
          <w:szCs w:val="24"/>
          <w:lang w:val="en-US"/>
        </w:rPr>
        <w:t>ru</w:t>
      </w:r>
      <w:proofErr w:type="spellEnd"/>
      <w:r w:rsidR="00E01CF2" w:rsidRPr="00484E7C">
        <w:rPr>
          <w:rFonts w:ascii="Times New Roman" w:hAnsi="Times New Roman" w:cs="Times New Roman"/>
          <w:sz w:val="24"/>
          <w:szCs w:val="24"/>
        </w:rPr>
        <w:t>/</w:t>
      </w:r>
      <w:r w:rsidR="00E01CF2" w:rsidRPr="00E01CF2">
        <w:rPr>
          <w:rFonts w:ascii="Times New Roman" w:hAnsi="Times New Roman" w:cs="Times New Roman"/>
          <w:sz w:val="24"/>
          <w:szCs w:val="24"/>
          <w:lang w:val="en-US"/>
        </w:rPr>
        <w:t>articles</w:t>
      </w:r>
      <w:r w:rsidR="00E01CF2" w:rsidRPr="00484E7C">
        <w:rPr>
          <w:rFonts w:ascii="Times New Roman" w:hAnsi="Times New Roman" w:cs="Times New Roman"/>
          <w:sz w:val="24"/>
          <w:szCs w:val="24"/>
        </w:rPr>
        <w:t>/2017/6/4563.</w:t>
      </w:r>
      <w:r w:rsidR="00E01CF2" w:rsidRPr="00E01CF2">
        <w:rPr>
          <w:rFonts w:ascii="Times New Roman" w:hAnsi="Times New Roman" w:cs="Times New Roman"/>
          <w:sz w:val="24"/>
          <w:szCs w:val="24"/>
          <w:lang w:val="en-US"/>
        </w:rPr>
        <w:t>html</w:t>
      </w:r>
    </w:p>
  </w:footnote>
  <w:footnote w:id="6">
    <w:p w:rsidR="00A64275" w:rsidRPr="00E01F30" w:rsidRDefault="00A64275" w:rsidP="00E01F30">
      <w:pPr>
        <w:pStyle w:val="a8"/>
        <w:ind w:firstLine="709"/>
        <w:jc w:val="both"/>
        <w:rPr>
          <w:rFonts w:ascii="Times New Roman" w:hAnsi="Times New Roman" w:cs="Times New Roman"/>
          <w:sz w:val="24"/>
          <w:szCs w:val="24"/>
        </w:rPr>
      </w:pPr>
      <w:r w:rsidRPr="00A64275">
        <w:rPr>
          <w:rStyle w:val="aa"/>
          <w:rFonts w:ascii="Times New Roman" w:hAnsi="Times New Roman" w:cs="Times New Roman"/>
          <w:sz w:val="24"/>
          <w:szCs w:val="24"/>
        </w:rPr>
        <w:footnoteRef/>
      </w:r>
      <w:r w:rsidRPr="00A64275">
        <w:rPr>
          <w:rFonts w:ascii="Times New Roman" w:hAnsi="Times New Roman" w:cs="Times New Roman"/>
          <w:sz w:val="24"/>
          <w:szCs w:val="24"/>
        </w:rPr>
        <w:t xml:space="preserve"> </w:t>
      </w:r>
      <w:r w:rsidRPr="00A64275">
        <w:rPr>
          <w:rFonts w:ascii="Times New Roman" w:hAnsi="Times New Roman" w:cs="Times New Roman"/>
          <w:i/>
          <w:sz w:val="24"/>
          <w:szCs w:val="24"/>
        </w:rPr>
        <w:t>Попова Ю.Е</w:t>
      </w:r>
      <w:r w:rsidRPr="00A64275">
        <w:rPr>
          <w:rFonts w:ascii="Times New Roman" w:hAnsi="Times New Roman" w:cs="Times New Roman"/>
          <w:sz w:val="24"/>
          <w:szCs w:val="24"/>
        </w:rPr>
        <w:t xml:space="preserve">., </w:t>
      </w:r>
      <w:proofErr w:type="spellStart"/>
      <w:r w:rsidRPr="00A64275">
        <w:rPr>
          <w:rFonts w:ascii="Times New Roman" w:hAnsi="Times New Roman" w:cs="Times New Roman"/>
          <w:i/>
          <w:sz w:val="24"/>
          <w:szCs w:val="24"/>
        </w:rPr>
        <w:t>Почекаева</w:t>
      </w:r>
      <w:proofErr w:type="spellEnd"/>
      <w:r w:rsidRPr="00A64275">
        <w:rPr>
          <w:rFonts w:ascii="Times New Roman" w:hAnsi="Times New Roman" w:cs="Times New Roman"/>
          <w:i/>
          <w:sz w:val="24"/>
          <w:szCs w:val="24"/>
        </w:rPr>
        <w:t xml:space="preserve"> О.В.</w:t>
      </w:r>
      <w:r w:rsidRPr="00A64275">
        <w:rPr>
          <w:rFonts w:ascii="Times New Roman" w:hAnsi="Times New Roman" w:cs="Times New Roman"/>
          <w:sz w:val="24"/>
          <w:szCs w:val="24"/>
        </w:rPr>
        <w:t xml:space="preserve"> Оценка финансовой устойчивости организации и пути ее повышения // </w:t>
      </w:r>
      <w:r>
        <w:rPr>
          <w:rFonts w:ascii="Times New Roman" w:hAnsi="Times New Roman" w:cs="Times New Roman"/>
          <w:sz w:val="24"/>
          <w:szCs w:val="24"/>
        </w:rPr>
        <w:t>Э</w:t>
      </w:r>
      <w:r w:rsidRPr="00A64275">
        <w:rPr>
          <w:rFonts w:ascii="Times New Roman" w:hAnsi="Times New Roman" w:cs="Times New Roman"/>
          <w:sz w:val="24"/>
          <w:szCs w:val="24"/>
        </w:rPr>
        <w:t xml:space="preserve">кономические исследования и разработки. 2019. </w:t>
      </w:r>
      <w:r w:rsidR="00A42A44">
        <w:rPr>
          <w:rFonts w:ascii="Times New Roman" w:hAnsi="Times New Roman" w:cs="Times New Roman"/>
          <w:sz w:val="24"/>
          <w:szCs w:val="24"/>
        </w:rPr>
        <w:t>Режим доступа:</w:t>
      </w:r>
      <w:r w:rsidRPr="00A64275">
        <w:rPr>
          <w:rFonts w:ascii="Times New Roman" w:hAnsi="Times New Roman" w:cs="Times New Roman"/>
          <w:sz w:val="24"/>
          <w:szCs w:val="24"/>
        </w:rPr>
        <w:t xml:space="preserve"> </w:t>
      </w:r>
      <w:r w:rsidRPr="00A64275">
        <w:rPr>
          <w:rFonts w:ascii="Times New Roman" w:hAnsi="Times New Roman" w:cs="Times New Roman"/>
          <w:sz w:val="24"/>
          <w:szCs w:val="24"/>
          <w:lang w:val="en-US"/>
        </w:rPr>
        <w:t>http</w:t>
      </w:r>
      <w:r w:rsidRPr="00A64275">
        <w:rPr>
          <w:rFonts w:ascii="Times New Roman" w:hAnsi="Times New Roman" w:cs="Times New Roman"/>
          <w:sz w:val="24"/>
          <w:szCs w:val="24"/>
        </w:rPr>
        <w:t xml:space="preserve">: </w:t>
      </w:r>
      <w:r w:rsidRPr="00484E7C">
        <w:rPr>
          <w:rFonts w:ascii="Times New Roman" w:hAnsi="Times New Roman" w:cs="Times New Roman"/>
          <w:sz w:val="24"/>
          <w:szCs w:val="24"/>
        </w:rPr>
        <w:t>//</w:t>
      </w:r>
      <w:proofErr w:type="spellStart"/>
      <w:r w:rsidRPr="00A64275">
        <w:rPr>
          <w:rFonts w:ascii="Times New Roman" w:hAnsi="Times New Roman" w:cs="Times New Roman"/>
          <w:sz w:val="24"/>
          <w:szCs w:val="24"/>
          <w:lang w:val="en-US"/>
        </w:rPr>
        <w:t>edrj</w:t>
      </w:r>
      <w:proofErr w:type="spellEnd"/>
      <w:r w:rsidRPr="00484E7C">
        <w:rPr>
          <w:rFonts w:ascii="Times New Roman" w:hAnsi="Times New Roman" w:cs="Times New Roman"/>
          <w:sz w:val="24"/>
          <w:szCs w:val="24"/>
        </w:rPr>
        <w:t>.</w:t>
      </w:r>
      <w:proofErr w:type="spellStart"/>
      <w:r w:rsidRPr="00A64275">
        <w:rPr>
          <w:rFonts w:ascii="Times New Roman" w:hAnsi="Times New Roman" w:cs="Times New Roman"/>
          <w:sz w:val="24"/>
          <w:szCs w:val="24"/>
          <w:lang w:val="en-US"/>
        </w:rPr>
        <w:t>ru</w:t>
      </w:r>
      <w:proofErr w:type="spellEnd"/>
      <w:r w:rsidRPr="00484E7C">
        <w:rPr>
          <w:rFonts w:ascii="Times New Roman" w:hAnsi="Times New Roman" w:cs="Times New Roman"/>
          <w:sz w:val="24"/>
          <w:szCs w:val="24"/>
        </w:rPr>
        <w:t>/</w:t>
      </w:r>
      <w:r w:rsidRPr="00A64275">
        <w:rPr>
          <w:rFonts w:ascii="Times New Roman" w:hAnsi="Times New Roman" w:cs="Times New Roman"/>
          <w:sz w:val="24"/>
          <w:szCs w:val="24"/>
          <w:lang w:val="en-US"/>
        </w:rPr>
        <w:t>article</w:t>
      </w:r>
      <w:r w:rsidRPr="00484E7C">
        <w:rPr>
          <w:rFonts w:ascii="Times New Roman" w:hAnsi="Times New Roman" w:cs="Times New Roman"/>
          <w:sz w:val="24"/>
          <w:szCs w:val="24"/>
        </w:rPr>
        <w:t>/13-07-19</w:t>
      </w:r>
      <w:r w:rsidR="00484E7C">
        <w:rPr>
          <w:rFonts w:ascii="Times New Roman" w:hAnsi="Times New Roman" w:cs="Times New Roman"/>
          <w:sz w:val="24"/>
          <w:szCs w:val="24"/>
        </w:rPr>
        <w:t xml:space="preserve">; </w:t>
      </w:r>
      <w:r w:rsidR="00484E7C" w:rsidRPr="00484E7C">
        <w:rPr>
          <w:rFonts w:ascii="Times New Roman" w:hAnsi="Times New Roman" w:cs="Times New Roman"/>
          <w:i/>
          <w:sz w:val="24"/>
          <w:szCs w:val="24"/>
        </w:rPr>
        <w:t>Данилова Н.Л.</w:t>
      </w:r>
      <w:r w:rsidR="00484E7C">
        <w:rPr>
          <w:rFonts w:ascii="Times New Roman" w:hAnsi="Times New Roman" w:cs="Times New Roman"/>
          <w:sz w:val="24"/>
          <w:szCs w:val="24"/>
        </w:rPr>
        <w:t xml:space="preserve"> Сущность и проблемы анализа финансовой устойчивости коммерческого предприятия // Концепт. 2014. № 2. С. </w:t>
      </w:r>
      <w:r w:rsidR="00DA5337">
        <w:rPr>
          <w:rFonts w:ascii="Times New Roman" w:hAnsi="Times New Roman" w:cs="Times New Roman"/>
          <w:sz w:val="24"/>
          <w:szCs w:val="24"/>
        </w:rPr>
        <w:t xml:space="preserve">4-8; </w:t>
      </w:r>
      <w:r w:rsidR="00DA5337" w:rsidRPr="00DA5337">
        <w:rPr>
          <w:rFonts w:ascii="Times New Roman" w:hAnsi="Times New Roman" w:cs="Times New Roman"/>
          <w:i/>
          <w:sz w:val="24"/>
          <w:szCs w:val="24"/>
        </w:rPr>
        <w:t xml:space="preserve">Бороухин Д.С., Царева С.В., </w:t>
      </w:r>
      <w:proofErr w:type="spellStart"/>
      <w:r w:rsidR="00DA5337" w:rsidRPr="00DA5337">
        <w:rPr>
          <w:rFonts w:ascii="Times New Roman" w:hAnsi="Times New Roman" w:cs="Times New Roman"/>
          <w:i/>
          <w:sz w:val="24"/>
          <w:szCs w:val="24"/>
        </w:rPr>
        <w:t>Гапоненкова</w:t>
      </w:r>
      <w:proofErr w:type="spellEnd"/>
      <w:r w:rsidR="00DA5337" w:rsidRPr="00DA5337">
        <w:rPr>
          <w:rFonts w:ascii="Times New Roman" w:hAnsi="Times New Roman" w:cs="Times New Roman"/>
          <w:i/>
          <w:sz w:val="24"/>
          <w:szCs w:val="24"/>
        </w:rPr>
        <w:t xml:space="preserve"> Н.Б.</w:t>
      </w:r>
      <w:r w:rsidR="00DA5337">
        <w:rPr>
          <w:rFonts w:ascii="Times New Roman" w:hAnsi="Times New Roman" w:cs="Times New Roman"/>
          <w:sz w:val="24"/>
          <w:szCs w:val="24"/>
        </w:rPr>
        <w:t xml:space="preserve"> и др. Финансовый анализ: риски, кредитоспособность, </w:t>
      </w:r>
      <w:r w:rsidR="00DA5337" w:rsidRPr="00E01F30">
        <w:rPr>
          <w:rFonts w:ascii="Times New Roman" w:hAnsi="Times New Roman" w:cs="Times New Roman"/>
          <w:sz w:val="24"/>
          <w:szCs w:val="24"/>
        </w:rPr>
        <w:t>инвестиции. М.: Изд-во Академии Естествознания, 2013.</w:t>
      </w:r>
    </w:p>
  </w:footnote>
  <w:footnote w:id="7">
    <w:p w:rsidR="00E01F30" w:rsidRPr="008B53B5" w:rsidRDefault="00E01F30" w:rsidP="008B53B5">
      <w:pPr>
        <w:pStyle w:val="a8"/>
        <w:ind w:firstLine="709"/>
        <w:jc w:val="both"/>
        <w:rPr>
          <w:rFonts w:ascii="Times New Roman" w:hAnsi="Times New Roman" w:cs="Times New Roman"/>
          <w:sz w:val="24"/>
          <w:szCs w:val="24"/>
        </w:rPr>
      </w:pPr>
      <w:r w:rsidRPr="00E01F30">
        <w:rPr>
          <w:rStyle w:val="aa"/>
          <w:rFonts w:ascii="Times New Roman" w:hAnsi="Times New Roman" w:cs="Times New Roman"/>
          <w:sz w:val="24"/>
          <w:szCs w:val="24"/>
        </w:rPr>
        <w:footnoteRef/>
      </w:r>
      <w:r w:rsidRPr="00E01F30">
        <w:rPr>
          <w:rFonts w:ascii="Times New Roman" w:hAnsi="Times New Roman" w:cs="Times New Roman"/>
          <w:sz w:val="24"/>
          <w:szCs w:val="24"/>
        </w:rPr>
        <w:t xml:space="preserve"> Приказ Министерства экономики Российской Федерации от 1 октября 1997 г. № 118 «Об утверждении Методических рекомендаций по реформе предприятий </w:t>
      </w:r>
      <w:r w:rsidRPr="008B53B5">
        <w:rPr>
          <w:rFonts w:ascii="Times New Roman" w:hAnsi="Times New Roman" w:cs="Times New Roman"/>
          <w:sz w:val="24"/>
          <w:szCs w:val="24"/>
        </w:rPr>
        <w:t>(организаций)».</w:t>
      </w:r>
    </w:p>
  </w:footnote>
  <w:footnote w:id="8">
    <w:p w:rsidR="008B53B5" w:rsidRPr="00A32B35" w:rsidRDefault="008B53B5" w:rsidP="008B53B5">
      <w:pPr>
        <w:pStyle w:val="a8"/>
        <w:ind w:firstLine="709"/>
        <w:jc w:val="both"/>
      </w:pPr>
      <w:r w:rsidRPr="008B53B5">
        <w:rPr>
          <w:rStyle w:val="aa"/>
          <w:rFonts w:ascii="Times New Roman" w:hAnsi="Times New Roman" w:cs="Times New Roman"/>
          <w:sz w:val="24"/>
          <w:szCs w:val="24"/>
        </w:rPr>
        <w:footnoteRef/>
      </w:r>
      <w:r w:rsidRPr="008B53B5">
        <w:rPr>
          <w:rFonts w:ascii="Times New Roman" w:hAnsi="Times New Roman" w:cs="Times New Roman"/>
          <w:sz w:val="24"/>
          <w:szCs w:val="24"/>
        </w:rPr>
        <w:t xml:space="preserve"> До введения мониторинга финансовой устойчивости системообразующих организаций подобные показатели в России вводились в отношении социально значимых хозяйствующих и экономических субъектов (например, застройщиков и кредитных организаций), а также в связи с процедурой банкротства. </w:t>
      </w:r>
      <w:r w:rsidR="00A32B35">
        <w:rPr>
          <w:rFonts w:ascii="Times New Roman" w:hAnsi="Times New Roman" w:cs="Times New Roman"/>
          <w:sz w:val="24"/>
          <w:szCs w:val="24"/>
        </w:rPr>
        <w:t>См. постановление Правительства РФ от 20.05.1994 № 498 «О некоторых мерах по реализации законодательства о несостоятельности (банкротства) предприятий»; постановление Правительства РФ от 21.04.2006 № 233 «О нормативах оценки финансовой устойчивости деятельности предприятия»; Указание Банка России от 3 апреля 2017 г. № 4336-У «Об оценке экономического положения банков»; постановление Правительства РФ от 26.12.2018 № 1683 «О нормативах финансовой устойчивости деятельности застройщика».</w:t>
      </w:r>
    </w:p>
  </w:footnote>
  <w:footnote w:id="9">
    <w:p w:rsidR="00FC0BB0" w:rsidRPr="00BE4178" w:rsidRDefault="00FC0BB0" w:rsidP="00FC0BB0">
      <w:pPr>
        <w:pStyle w:val="a8"/>
        <w:ind w:firstLine="709"/>
        <w:jc w:val="both"/>
        <w:rPr>
          <w:rFonts w:ascii="Times New Roman" w:hAnsi="Times New Roman" w:cs="Times New Roman"/>
          <w:sz w:val="24"/>
          <w:szCs w:val="24"/>
        </w:rPr>
      </w:pPr>
      <w:r w:rsidRPr="00BE4178">
        <w:rPr>
          <w:rStyle w:val="aa"/>
          <w:rFonts w:ascii="Times New Roman" w:hAnsi="Times New Roman" w:cs="Times New Roman"/>
          <w:sz w:val="24"/>
          <w:szCs w:val="24"/>
        </w:rPr>
        <w:footnoteRef/>
      </w:r>
      <w:r w:rsidRPr="00BE4178">
        <w:rPr>
          <w:rFonts w:ascii="Times New Roman" w:hAnsi="Times New Roman" w:cs="Times New Roman"/>
          <w:sz w:val="24"/>
          <w:szCs w:val="24"/>
        </w:rPr>
        <w:t xml:space="preserve"> Порядок проведения мониторинга финансово-экономического состояния системообразующих организаций российской экономики утвержден приказом Министерства экономического развития Российской Федерации от 7 апреля 2020 г. № 207</w:t>
      </w:r>
    </w:p>
  </w:footnote>
  <w:footnote w:id="10">
    <w:p w:rsidR="000A727F" w:rsidRPr="000A727F" w:rsidRDefault="000A727F" w:rsidP="000A727F">
      <w:pPr>
        <w:pStyle w:val="a8"/>
        <w:ind w:firstLine="709"/>
        <w:jc w:val="both"/>
        <w:rPr>
          <w:rFonts w:ascii="Times New Roman" w:hAnsi="Times New Roman" w:cs="Times New Roman"/>
          <w:sz w:val="24"/>
          <w:szCs w:val="24"/>
        </w:rPr>
      </w:pPr>
      <w:r w:rsidRPr="000A727F">
        <w:rPr>
          <w:rStyle w:val="aa"/>
          <w:rFonts w:ascii="Times New Roman" w:hAnsi="Times New Roman" w:cs="Times New Roman"/>
          <w:sz w:val="24"/>
          <w:szCs w:val="24"/>
        </w:rPr>
        <w:footnoteRef/>
      </w:r>
      <w:r w:rsidRPr="000A727F">
        <w:rPr>
          <w:rFonts w:ascii="Times New Roman" w:hAnsi="Times New Roman" w:cs="Times New Roman"/>
          <w:sz w:val="24"/>
          <w:szCs w:val="24"/>
        </w:rPr>
        <w:t xml:space="preserve"> Показатель «Операционный денежный поток» </w:t>
      </w:r>
      <w:r w:rsidR="00CF5E35">
        <w:rPr>
          <w:rFonts w:ascii="Times New Roman" w:hAnsi="Times New Roman" w:cs="Times New Roman"/>
          <w:sz w:val="24"/>
          <w:szCs w:val="24"/>
        </w:rPr>
        <w:t>служит ключевым источником обслуживания долговых обязательств и осуществления капитальных расходов. О</w:t>
      </w:r>
      <w:r w:rsidRPr="000A727F">
        <w:rPr>
          <w:rFonts w:ascii="Times New Roman" w:hAnsi="Times New Roman" w:cs="Times New Roman"/>
          <w:sz w:val="24"/>
          <w:szCs w:val="24"/>
        </w:rPr>
        <w:t>беспечивает сравнение организаций из широкого круга отраслей экономики.</w:t>
      </w:r>
    </w:p>
  </w:footnote>
  <w:footnote w:id="11">
    <w:p w:rsidR="00D93544" w:rsidRPr="00FF42CA" w:rsidRDefault="00D93544" w:rsidP="00FF42CA">
      <w:pPr>
        <w:pStyle w:val="a8"/>
        <w:ind w:firstLine="709"/>
        <w:jc w:val="both"/>
        <w:rPr>
          <w:rFonts w:ascii="Times New Roman" w:hAnsi="Times New Roman" w:cs="Times New Roman"/>
          <w:sz w:val="24"/>
          <w:szCs w:val="24"/>
        </w:rPr>
      </w:pPr>
      <w:r w:rsidRPr="00FF42CA">
        <w:rPr>
          <w:rStyle w:val="aa"/>
          <w:rFonts w:ascii="Times New Roman" w:hAnsi="Times New Roman" w:cs="Times New Roman"/>
          <w:sz w:val="24"/>
          <w:szCs w:val="24"/>
        </w:rPr>
        <w:footnoteRef/>
      </w:r>
      <w:r w:rsidRPr="00877418">
        <w:rPr>
          <w:rFonts w:ascii="Times New Roman" w:hAnsi="Times New Roman" w:cs="Times New Roman"/>
          <w:sz w:val="24"/>
          <w:szCs w:val="24"/>
        </w:rPr>
        <w:t xml:space="preserve"> </w:t>
      </w:r>
      <w:r w:rsidRPr="00877418">
        <w:rPr>
          <w:rFonts w:ascii="Times New Roman" w:hAnsi="Times New Roman" w:cs="Times New Roman"/>
          <w:sz w:val="24"/>
          <w:szCs w:val="24"/>
          <w:lang w:val="en-US"/>
        </w:rPr>
        <w:t>EBIT</w:t>
      </w:r>
      <w:r w:rsidRPr="00FF42CA">
        <w:rPr>
          <w:rFonts w:ascii="Times New Roman" w:hAnsi="Times New Roman" w:cs="Times New Roman"/>
          <w:sz w:val="24"/>
          <w:szCs w:val="24"/>
        </w:rPr>
        <w:t xml:space="preserve"> (</w:t>
      </w:r>
      <w:r w:rsidRPr="00FF42CA">
        <w:rPr>
          <w:rFonts w:ascii="Times New Roman" w:hAnsi="Times New Roman" w:cs="Times New Roman"/>
          <w:sz w:val="24"/>
          <w:szCs w:val="24"/>
          <w:lang w:val="en-US"/>
        </w:rPr>
        <w:t>Earnings</w:t>
      </w:r>
      <w:r w:rsidRPr="00FF42CA">
        <w:rPr>
          <w:rFonts w:ascii="Times New Roman" w:hAnsi="Times New Roman" w:cs="Times New Roman"/>
          <w:sz w:val="24"/>
          <w:szCs w:val="24"/>
        </w:rPr>
        <w:t xml:space="preserve"> </w:t>
      </w:r>
      <w:r w:rsidRPr="00FF42CA">
        <w:rPr>
          <w:rFonts w:ascii="Times New Roman" w:hAnsi="Times New Roman" w:cs="Times New Roman"/>
          <w:sz w:val="24"/>
          <w:szCs w:val="24"/>
          <w:lang w:val="en-US"/>
        </w:rPr>
        <w:t>before</w:t>
      </w:r>
      <w:r w:rsidRPr="00FF42CA">
        <w:rPr>
          <w:rFonts w:ascii="Times New Roman" w:hAnsi="Times New Roman" w:cs="Times New Roman"/>
          <w:sz w:val="24"/>
          <w:szCs w:val="24"/>
        </w:rPr>
        <w:t xml:space="preserve"> </w:t>
      </w:r>
      <w:r w:rsidRPr="00FF42CA">
        <w:rPr>
          <w:rFonts w:ascii="Times New Roman" w:hAnsi="Times New Roman" w:cs="Times New Roman"/>
          <w:sz w:val="24"/>
          <w:szCs w:val="24"/>
          <w:lang w:val="en-US"/>
        </w:rPr>
        <w:t>interest</w:t>
      </w:r>
      <w:r w:rsidRPr="00FF42CA">
        <w:rPr>
          <w:rFonts w:ascii="Times New Roman" w:hAnsi="Times New Roman" w:cs="Times New Roman"/>
          <w:sz w:val="24"/>
          <w:szCs w:val="24"/>
        </w:rPr>
        <w:t xml:space="preserve">, </w:t>
      </w:r>
      <w:r w:rsidRPr="00FF42CA">
        <w:rPr>
          <w:rFonts w:ascii="Times New Roman" w:hAnsi="Times New Roman" w:cs="Times New Roman"/>
          <w:sz w:val="24"/>
          <w:szCs w:val="24"/>
          <w:lang w:val="en-US"/>
        </w:rPr>
        <w:t>taxes</w:t>
      </w:r>
      <w:r w:rsidRPr="00FF42CA">
        <w:rPr>
          <w:rFonts w:ascii="Times New Roman" w:hAnsi="Times New Roman" w:cs="Times New Roman"/>
          <w:sz w:val="24"/>
          <w:szCs w:val="24"/>
        </w:rPr>
        <w:t>) – аналитический показатель, равный объему прибыли до вычета расходов по выплате процентов, налогов.</w:t>
      </w:r>
    </w:p>
  </w:footnote>
  <w:footnote w:id="12">
    <w:p w:rsidR="00FF42CA" w:rsidRDefault="00FF42CA" w:rsidP="00FF42CA">
      <w:pPr>
        <w:pStyle w:val="a8"/>
        <w:ind w:firstLine="709"/>
        <w:jc w:val="both"/>
      </w:pPr>
      <w:r w:rsidRPr="00FF42CA">
        <w:rPr>
          <w:rStyle w:val="aa"/>
          <w:rFonts w:ascii="Times New Roman" w:hAnsi="Times New Roman" w:cs="Times New Roman"/>
          <w:sz w:val="24"/>
          <w:szCs w:val="24"/>
        </w:rPr>
        <w:footnoteRef/>
      </w:r>
      <w:r w:rsidRPr="00FF42CA">
        <w:rPr>
          <w:rFonts w:ascii="Times New Roman" w:hAnsi="Times New Roman" w:cs="Times New Roman"/>
          <w:sz w:val="24"/>
          <w:szCs w:val="24"/>
        </w:rPr>
        <w:t xml:space="preserve"> </w:t>
      </w:r>
      <w:r w:rsidRPr="00877418">
        <w:rPr>
          <w:rFonts w:ascii="Times New Roman" w:hAnsi="Times New Roman" w:cs="Times New Roman"/>
          <w:sz w:val="24"/>
          <w:szCs w:val="24"/>
          <w:lang w:val="en-US"/>
        </w:rPr>
        <w:t>EBITDA</w:t>
      </w:r>
      <w:r w:rsidRPr="00FF42CA">
        <w:rPr>
          <w:rFonts w:ascii="Times New Roman" w:hAnsi="Times New Roman" w:cs="Times New Roman"/>
          <w:sz w:val="24"/>
          <w:szCs w:val="24"/>
        </w:rPr>
        <w:t xml:space="preserve"> (</w:t>
      </w:r>
      <w:r w:rsidRPr="00FF42CA">
        <w:rPr>
          <w:rFonts w:ascii="Times New Roman" w:hAnsi="Times New Roman" w:cs="Times New Roman"/>
          <w:sz w:val="24"/>
          <w:szCs w:val="24"/>
          <w:lang w:val="en-US"/>
        </w:rPr>
        <w:t>Earnings</w:t>
      </w:r>
      <w:r w:rsidRPr="00FF42CA">
        <w:rPr>
          <w:rFonts w:ascii="Times New Roman" w:hAnsi="Times New Roman" w:cs="Times New Roman"/>
          <w:sz w:val="24"/>
          <w:szCs w:val="24"/>
        </w:rPr>
        <w:t xml:space="preserve"> </w:t>
      </w:r>
      <w:r w:rsidRPr="00FF42CA">
        <w:rPr>
          <w:rFonts w:ascii="Times New Roman" w:hAnsi="Times New Roman" w:cs="Times New Roman"/>
          <w:sz w:val="24"/>
          <w:szCs w:val="24"/>
          <w:lang w:val="en-US"/>
        </w:rPr>
        <w:t>before</w:t>
      </w:r>
      <w:r w:rsidRPr="00FF42CA">
        <w:rPr>
          <w:rFonts w:ascii="Times New Roman" w:hAnsi="Times New Roman" w:cs="Times New Roman"/>
          <w:sz w:val="24"/>
          <w:szCs w:val="24"/>
        </w:rPr>
        <w:t xml:space="preserve"> </w:t>
      </w:r>
      <w:r w:rsidRPr="00FF42CA">
        <w:rPr>
          <w:rFonts w:ascii="Times New Roman" w:hAnsi="Times New Roman" w:cs="Times New Roman"/>
          <w:sz w:val="24"/>
          <w:szCs w:val="24"/>
          <w:lang w:val="en-US"/>
        </w:rPr>
        <w:t>interest</w:t>
      </w:r>
      <w:r w:rsidRPr="00FF42CA">
        <w:rPr>
          <w:rFonts w:ascii="Times New Roman" w:hAnsi="Times New Roman" w:cs="Times New Roman"/>
          <w:sz w:val="24"/>
          <w:szCs w:val="24"/>
        </w:rPr>
        <w:t xml:space="preserve">, </w:t>
      </w:r>
      <w:r w:rsidRPr="00FF42CA">
        <w:rPr>
          <w:rFonts w:ascii="Times New Roman" w:hAnsi="Times New Roman" w:cs="Times New Roman"/>
          <w:sz w:val="24"/>
          <w:szCs w:val="24"/>
          <w:lang w:val="en-US"/>
        </w:rPr>
        <w:t>taxes</w:t>
      </w:r>
      <w:r w:rsidRPr="00FF42CA">
        <w:rPr>
          <w:rFonts w:ascii="Times New Roman" w:hAnsi="Times New Roman" w:cs="Times New Roman"/>
          <w:sz w:val="24"/>
          <w:szCs w:val="24"/>
        </w:rPr>
        <w:t xml:space="preserve">, </w:t>
      </w:r>
      <w:r w:rsidRPr="00FF42CA">
        <w:rPr>
          <w:rFonts w:ascii="Times New Roman" w:hAnsi="Times New Roman" w:cs="Times New Roman"/>
          <w:sz w:val="24"/>
          <w:szCs w:val="24"/>
          <w:lang w:val="en-US"/>
        </w:rPr>
        <w:t>depreciation</w:t>
      </w:r>
      <w:r w:rsidRPr="00FF42CA">
        <w:rPr>
          <w:rFonts w:ascii="Times New Roman" w:hAnsi="Times New Roman" w:cs="Times New Roman"/>
          <w:sz w:val="24"/>
          <w:szCs w:val="24"/>
        </w:rPr>
        <w:t xml:space="preserve"> </w:t>
      </w:r>
      <w:r w:rsidRPr="00FF42CA">
        <w:rPr>
          <w:rFonts w:ascii="Times New Roman" w:hAnsi="Times New Roman" w:cs="Times New Roman"/>
          <w:sz w:val="24"/>
          <w:szCs w:val="24"/>
          <w:lang w:val="en-US"/>
        </w:rPr>
        <w:t>and</w:t>
      </w:r>
      <w:r w:rsidRPr="00FF42CA">
        <w:rPr>
          <w:rFonts w:ascii="Times New Roman" w:hAnsi="Times New Roman" w:cs="Times New Roman"/>
          <w:sz w:val="24"/>
          <w:szCs w:val="24"/>
        </w:rPr>
        <w:t xml:space="preserve"> </w:t>
      </w:r>
      <w:r w:rsidRPr="00FF42CA">
        <w:rPr>
          <w:rFonts w:ascii="Times New Roman" w:hAnsi="Times New Roman" w:cs="Times New Roman"/>
          <w:sz w:val="24"/>
          <w:szCs w:val="24"/>
          <w:lang w:val="en-US"/>
        </w:rPr>
        <w:t>amortization</w:t>
      </w:r>
      <w:r w:rsidRPr="00FF42CA">
        <w:rPr>
          <w:rFonts w:ascii="Times New Roman" w:hAnsi="Times New Roman" w:cs="Times New Roman"/>
          <w:sz w:val="24"/>
          <w:szCs w:val="24"/>
        </w:rPr>
        <w:t>) – аналитический показатель, объем прибыли до вычета расходов по выплате процентов, налогов, износа и начисленной амортизации.</w:t>
      </w:r>
    </w:p>
  </w:footnote>
  <w:footnote w:id="13">
    <w:p w:rsidR="00756AF6" w:rsidRPr="00BF5D31" w:rsidRDefault="00756AF6" w:rsidP="00BF5D31">
      <w:pPr>
        <w:pStyle w:val="a8"/>
        <w:ind w:firstLine="709"/>
        <w:jc w:val="both"/>
        <w:rPr>
          <w:sz w:val="24"/>
          <w:szCs w:val="24"/>
        </w:rPr>
      </w:pPr>
      <w:r w:rsidRPr="00BE2C07">
        <w:rPr>
          <w:rStyle w:val="aa"/>
          <w:rFonts w:ascii="Times New Roman" w:hAnsi="Times New Roman" w:cs="Times New Roman"/>
          <w:sz w:val="24"/>
          <w:szCs w:val="24"/>
        </w:rPr>
        <w:footnoteRef/>
      </w:r>
      <w:r w:rsidRPr="00BE2C07">
        <w:rPr>
          <w:rFonts w:ascii="Times New Roman" w:hAnsi="Times New Roman" w:cs="Times New Roman"/>
          <w:sz w:val="24"/>
          <w:szCs w:val="24"/>
        </w:rPr>
        <w:t xml:space="preserve"> </w:t>
      </w:r>
      <w:r w:rsidR="00BF5D31">
        <w:rPr>
          <w:rFonts w:ascii="Times New Roman CYR" w:hAnsi="Times New Roman CYR" w:cs="Times New Roman CYR"/>
          <w:sz w:val="24"/>
          <w:szCs w:val="24"/>
        </w:rPr>
        <w:t>П</w:t>
      </w:r>
      <w:r w:rsidR="00BF5D31" w:rsidRPr="00BF5D31">
        <w:rPr>
          <w:rFonts w:ascii="Times New Roman CYR" w:hAnsi="Times New Roman CYR" w:cs="Times New Roman CYR"/>
          <w:sz w:val="24"/>
          <w:szCs w:val="24"/>
        </w:rPr>
        <w:t>остановлени</w:t>
      </w:r>
      <w:r w:rsidR="00BF5D31">
        <w:rPr>
          <w:rFonts w:ascii="Times New Roman CYR" w:hAnsi="Times New Roman CYR" w:cs="Times New Roman CYR"/>
          <w:sz w:val="24"/>
          <w:szCs w:val="24"/>
        </w:rPr>
        <w:t>е</w:t>
      </w:r>
      <w:r w:rsidR="00BF5D31" w:rsidRPr="00BF5D31">
        <w:rPr>
          <w:rFonts w:ascii="Times New Roman CYR" w:hAnsi="Times New Roman CYR" w:cs="Times New Roman CYR"/>
          <w:sz w:val="24"/>
          <w:szCs w:val="24"/>
        </w:rPr>
        <w:t xml:space="preserve"> Правительства Российской Федерации от 2 апреля 2020 г. № 409 «О мерах по обеспечению устойчивого развития экономики»</w:t>
      </w:r>
      <w:r w:rsidR="00BF5D31">
        <w:rPr>
          <w:rFonts w:ascii="Times New Roman CYR" w:hAnsi="Times New Roman CYR" w:cs="Times New Roman CYR"/>
          <w:sz w:val="24"/>
          <w:szCs w:val="24"/>
        </w:rPr>
        <w:t>, постановление Правительства Российской Федерации от 3 апреля 2020 г.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w:t>
      </w:r>
      <w:r w:rsidR="00BC458F">
        <w:rPr>
          <w:rFonts w:ascii="Times New Roman CYR" w:hAnsi="Times New Roman CYR" w:cs="Times New Roman CYR"/>
          <w:sz w:val="24"/>
          <w:szCs w:val="24"/>
        </w:rPr>
        <w:t xml:space="preserve"> новой </w:t>
      </w:r>
      <w:proofErr w:type="spellStart"/>
      <w:r w:rsidR="00BC458F">
        <w:rPr>
          <w:rFonts w:ascii="Times New Roman CYR" w:hAnsi="Times New Roman CYR" w:cs="Times New Roman CYR"/>
          <w:sz w:val="24"/>
          <w:szCs w:val="24"/>
        </w:rPr>
        <w:t>коронавирусной</w:t>
      </w:r>
      <w:proofErr w:type="spellEnd"/>
      <w:r w:rsidR="00BC458F">
        <w:rPr>
          <w:rFonts w:ascii="Times New Roman CYR" w:hAnsi="Times New Roman CYR" w:cs="Times New Roman CYR"/>
          <w:sz w:val="24"/>
          <w:szCs w:val="24"/>
        </w:rPr>
        <w:t xml:space="preserve"> инфекции», постановление Правительства Российской Федерации от 10 мая 2020 г. № 651 «О мерах поддержки системообразующих организаций».</w:t>
      </w:r>
    </w:p>
  </w:footnote>
  <w:footnote w:id="14">
    <w:p w:rsidR="000C0BDB" w:rsidRPr="007558DA" w:rsidRDefault="000C0BDB" w:rsidP="000C0BDB">
      <w:pPr>
        <w:pStyle w:val="a8"/>
        <w:ind w:firstLine="709"/>
        <w:jc w:val="both"/>
        <w:rPr>
          <w:rFonts w:ascii="Times New Roman" w:hAnsi="Times New Roman" w:cs="Times New Roman"/>
          <w:sz w:val="24"/>
          <w:szCs w:val="24"/>
        </w:rPr>
      </w:pPr>
      <w:r w:rsidRPr="007558DA">
        <w:rPr>
          <w:rStyle w:val="aa"/>
          <w:rFonts w:ascii="Times New Roman" w:hAnsi="Times New Roman" w:cs="Times New Roman"/>
          <w:sz w:val="24"/>
          <w:szCs w:val="24"/>
        </w:rPr>
        <w:footnoteRef/>
      </w:r>
      <w:r w:rsidRPr="007558DA">
        <w:rPr>
          <w:rFonts w:ascii="Times New Roman" w:hAnsi="Times New Roman" w:cs="Times New Roman"/>
          <w:sz w:val="24"/>
          <w:szCs w:val="24"/>
        </w:rPr>
        <w:t xml:space="preserve"> Приказ Министерства экономического развития Российской Федерации от 13 мая 2020 г. № 276 «Об утверждении Порядка проведения оценки финансовой устойчивости (стресс-теста) системообразующих организаций российской экономики, претендующих на предоставление в 2020 г. мер государственной поддержки»</w:t>
      </w:r>
      <w:r>
        <w:rPr>
          <w:rFonts w:ascii="Times New Roman" w:hAnsi="Times New Roman" w:cs="Times New Roman"/>
          <w:sz w:val="24"/>
          <w:szCs w:val="24"/>
        </w:rPr>
        <w:t>.</w:t>
      </w:r>
    </w:p>
  </w:footnote>
  <w:footnote w:id="15">
    <w:p w:rsidR="00347CF5" w:rsidRPr="00987E03" w:rsidRDefault="00347CF5" w:rsidP="00987E03">
      <w:pPr>
        <w:pStyle w:val="a8"/>
        <w:ind w:firstLine="709"/>
        <w:jc w:val="both"/>
        <w:rPr>
          <w:rFonts w:ascii="Times New Roman" w:hAnsi="Times New Roman" w:cs="Times New Roman"/>
          <w:sz w:val="24"/>
          <w:szCs w:val="24"/>
        </w:rPr>
      </w:pPr>
      <w:r w:rsidRPr="00987E03">
        <w:rPr>
          <w:rStyle w:val="aa"/>
          <w:rFonts w:ascii="Times New Roman" w:hAnsi="Times New Roman" w:cs="Times New Roman"/>
          <w:sz w:val="24"/>
          <w:szCs w:val="24"/>
        </w:rPr>
        <w:footnoteRef/>
      </w:r>
      <w:r w:rsidRPr="00987E03">
        <w:rPr>
          <w:rFonts w:ascii="Times New Roman" w:hAnsi="Times New Roman" w:cs="Times New Roman"/>
          <w:sz w:val="24"/>
          <w:szCs w:val="24"/>
        </w:rPr>
        <w:t xml:space="preserve"> </w:t>
      </w:r>
      <w:r w:rsidR="00987E03" w:rsidRPr="00987E03">
        <w:rPr>
          <w:rFonts w:ascii="Times New Roman" w:hAnsi="Times New Roman" w:cs="Times New Roman"/>
          <w:sz w:val="24"/>
          <w:szCs w:val="24"/>
        </w:rPr>
        <w:t>На основе только количественных финансово-экономических данных</w:t>
      </w:r>
      <w:r w:rsidR="00987E03">
        <w:rPr>
          <w:rFonts w:ascii="Times New Roman" w:hAnsi="Times New Roman" w:cs="Times New Roman"/>
          <w:sz w:val="24"/>
          <w:szCs w:val="24"/>
        </w:rPr>
        <w:t xml:space="preserve"> организации</w:t>
      </w:r>
      <w:r w:rsidR="00987E03" w:rsidRPr="00987E03">
        <w:rPr>
          <w:rFonts w:ascii="Times New Roman" w:hAnsi="Times New Roman" w:cs="Times New Roman"/>
          <w:sz w:val="24"/>
          <w:szCs w:val="24"/>
        </w:rPr>
        <w:t xml:space="preserve"> нельзя, к примеру, выявить завышение доходов, дебиторской задолженности и нераспределенной прибыли, занижение обязательств, невозможно оценить искажение оборотных активов и собственного капитала организаций. Важную роль играет качественная оценка ликвидности (график обслуживания и погашения долга, </w:t>
      </w:r>
      <w:r w:rsidR="002B5849">
        <w:rPr>
          <w:rFonts w:ascii="Times New Roman" w:hAnsi="Times New Roman" w:cs="Times New Roman"/>
          <w:sz w:val="24"/>
          <w:szCs w:val="24"/>
        </w:rPr>
        <w:t xml:space="preserve">остаточная сумма долга, процентные ставки, </w:t>
      </w:r>
      <w:r w:rsidR="00987E03" w:rsidRPr="00987E03">
        <w:rPr>
          <w:rFonts w:ascii="Times New Roman" w:hAnsi="Times New Roman" w:cs="Times New Roman"/>
          <w:sz w:val="24"/>
          <w:szCs w:val="24"/>
        </w:rPr>
        <w:t xml:space="preserve">срок доступности средств, вид и характер обеспечения обязательств, наличие </w:t>
      </w:r>
      <w:proofErr w:type="spellStart"/>
      <w:r w:rsidR="00987E03" w:rsidRPr="00987E03">
        <w:rPr>
          <w:rFonts w:ascii="Times New Roman" w:hAnsi="Times New Roman" w:cs="Times New Roman"/>
          <w:sz w:val="24"/>
          <w:szCs w:val="24"/>
        </w:rPr>
        <w:t>ковенант</w:t>
      </w:r>
      <w:proofErr w:type="spellEnd"/>
      <w:r w:rsidR="00987E03" w:rsidRPr="00987E03">
        <w:rPr>
          <w:rFonts w:ascii="Times New Roman" w:hAnsi="Times New Roman" w:cs="Times New Roman"/>
          <w:sz w:val="24"/>
          <w:szCs w:val="24"/>
        </w:rPr>
        <w:t xml:space="preserve"> и др.).</w:t>
      </w:r>
    </w:p>
  </w:footnote>
  <w:footnote w:id="16">
    <w:p w:rsidR="00D45500" w:rsidRPr="00D45500" w:rsidRDefault="00D45500" w:rsidP="00D45500">
      <w:pPr>
        <w:pStyle w:val="a8"/>
        <w:ind w:firstLine="709"/>
        <w:jc w:val="both"/>
        <w:rPr>
          <w:rFonts w:ascii="Times New Roman" w:hAnsi="Times New Roman" w:cs="Times New Roman"/>
          <w:sz w:val="24"/>
          <w:szCs w:val="24"/>
        </w:rPr>
      </w:pPr>
      <w:r w:rsidRPr="00D45500">
        <w:rPr>
          <w:rStyle w:val="aa"/>
          <w:rFonts w:ascii="Times New Roman" w:hAnsi="Times New Roman" w:cs="Times New Roman"/>
          <w:sz w:val="24"/>
          <w:szCs w:val="24"/>
        </w:rPr>
        <w:footnoteRef/>
      </w:r>
      <w:r w:rsidRPr="00D45500">
        <w:rPr>
          <w:rFonts w:ascii="Times New Roman" w:hAnsi="Times New Roman" w:cs="Times New Roman"/>
          <w:sz w:val="24"/>
          <w:szCs w:val="24"/>
        </w:rPr>
        <w:t xml:space="preserve"> Из стресс-факторов рассматривается только долговая нагрузка.</w:t>
      </w:r>
    </w:p>
  </w:footnote>
  <w:footnote w:id="17">
    <w:p w:rsidR="004D1479" w:rsidRPr="004D1479" w:rsidRDefault="004D1479" w:rsidP="004D1479">
      <w:pPr>
        <w:pStyle w:val="a8"/>
        <w:ind w:firstLine="709"/>
        <w:jc w:val="both"/>
        <w:rPr>
          <w:rFonts w:ascii="Times New Roman" w:hAnsi="Times New Roman" w:cs="Times New Roman"/>
          <w:sz w:val="24"/>
          <w:szCs w:val="24"/>
        </w:rPr>
      </w:pPr>
      <w:r w:rsidRPr="004D1479">
        <w:rPr>
          <w:rStyle w:val="aa"/>
          <w:rFonts w:ascii="Times New Roman" w:hAnsi="Times New Roman" w:cs="Times New Roman"/>
          <w:sz w:val="24"/>
          <w:szCs w:val="24"/>
        </w:rPr>
        <w:footnoteRef/>
      </w:r>
      <w:r w:rsidRPr="004D1479">
        <w:rPr>
          <w:rFonts w:ascii="Times New Roman" w:hAnsi="Times New Roman" w:cs="Times New Roman"/>
          <w:sz w:val="24"/>
          <w:szCs w:val="24"/>
        </w:rPr>
        <w:t xml:space="preserve"> </w:t>
      </w:r>
      <w:r w:rsidR="004B7860">
        <w:rPr>
          <w:rFonts w:ascii="Times New Roman" w:hAnsi="Times New Roman" w:cs="Times New Roman"/>
          <w:sz w:val="24"/>
          <w:szCs w:val="24"/>
        </w:rPr>
        <w:t>Применительно к кредитным организациям с</w:t>
      </w:r>
      <w:r>
        <w:rPr>
          <w:rFonts w:ascii="Times New Roman" w:hAnsi="Times New Roman" w:cs="Times New Roman"/>
          <w:sz w:val="24"/>
          <w:szCs w:val="24"/>
        </w:rPr>
        <w:t xml:space="preserve">ложность и прозрачность структуры собственности анализируется </w:t>
      </w:r>
      <w:r w:rsidR="004B7860">
        <w:rPr>
          <w:rFonts w:ascii="Times New Roman" w:hAnsi="Times New Roman" w:cs="Times New Roman"/>
          <w:sz w:val="24"/>
          <w:szCs w:val="24"/>
        </w:rPr>
        <w:t>Банком России в ходе оценки экономического положения банков. См. Приложение 13 к Указанию Банка России от 3 апреля 2017 г. № 4336-У «Об оценке экономического положения банков».</w:t>
      </w:r>
    </w:p>
  </w:footnote>
  <w:footnote w:id="18">
    <w:p w:rsidR="004D1479" w:rsidRDefault="004D1479" w:rsidP="004D1479">
      <w:pPr>
        <w:pStyle w:val="a8"/>
        <w:ind w:firstLine="709"/>
        <w:jc w:val="both"/>
      </w:pPr>
      <w:r w:rsidRPr="004B7860">
        <w:rPr>
          <w:rStyle w:val="aa"/>
          <w:rFonts w:ascii="Times New Roman" w:hAnsi="Times New Roman" w:cs="Times New Roman"/>
          <w:sz w:val="24"/>
          <w:szCs w:val="24"/>
        </w:rPr>
        <w:footnoteRef/>
      </w:r>
      <w:r w:rsidRPr="004B7860">
        <w:rPr>
          <w:rFonts w:ascii="Times New Roman" w:hAnsi="Times New Roman" w:cs="Times New Roman"/>
          <w:sz w:val="24"/>
          <w:szCs w:val="24"/>
        </w:rPr>
        <w:t xml:space="preserve"> </w:t>
      </w:r>
      <w:r w:rsidR="00484E7C">
        <w:rPr>
          <w:rFonts w:ascii="Times New Roman" w:hAnsi="Times New Roman" w:cs="Times New Roman"/>
          <w:sz w:val="24"/>
          <w:szCs w:val="24"/>
        </w:rPr>
        <w:t xml:space="preserve">См. </w:t>
      </w:r>
      <w:r w:rsidR="00484E7C" w:rsidRPr="00484E7C">
        <w:rPr>
          <w:rFonts w:ascii="Times New Roman" w:hAnsi="Times New Roman" w:cs="Times New Roman"/>
          <w:i/>
          <w:sz w:val="24"/>
          <w:szCs w:val="24"/>
        </w:rPr>
        <w:t>Бурцев А.Л.</w:t>
      </w:r>
      <w:r w:rsidR="00484E7C">
        <w:rPr>
          <w:rFonts w:ascii="Times New Roman" w:hAnsi="Times New Roman" w:cs="Times New Roman"/>
          <w:sz w:val="24"/>
          <w:szCs w:val="24"/>
        </w:rPr>
        <w:t xml:space="preserve"> Анализ финансовой устойчивости организации: теория и сфера применения // Вестник Астраханского государственного технического университета. 2010. № 1. С. 254-257. </w:t>
      </w:r>
      <w:r w:rsidR="004B7860" w:rsidRPr="004B7860">
        <w:rPr>
          <w:rFonts w:ascii="Times New Roman" w:hAnsi="Times New Roman" w:cs="Times New Roman"/>
          <w:sz w:val="24"/>
          <w:szCs w:val="24"/>
        </w:rPr>
        <w:t>Применительно к кредитным организациям качество управления и риск-менеджмента анализируется</w:t>
      </w:r>
      <w:r w:rsidR="004B7860">
        <w:t xml:space="preserve"> </w:t>
      </w:r>
      <w:r w:rsidR="004B7860">
        <w:rPr>
          <w:rFonts w:ascii="Times New Roman" w:hAnsi="Times New Roman" w:cs="Times New Roman"/>
          <w:sz w:val="24"/>
          <w:szCs w:val="24"/>
        </w:rPr>
        <w:t>Банком России в ходе оценки экономического положения банков. См. Приложения 9-11 к Указанию Банка России от 3 апреля 2017 г. № 4336-У «Об оценке экономического положения банков».</w:t>
      </w:r>
    </w:p>
  </w:footnote>
  <w:footnote w:id="19">
    <w:p w:rsidR="00800EFA" w:rsidRPr="00A82F36" w:rsidRDefault="00800EFA" w:rsidP="00A82F36">
      <w:pPr>
        <w:pStyle w:val="a8"/>
        <w:ind w:firstLine="709"/>
        <w:jc w:val="both"/>
        <w:rPr>
          <w:rFonts w:ascii="Times New Roman" w:hAnsi="Times New Roman" w:cs="Times New Roman"/>
          <w:sz w:val="24"/>
          <w:szCs w:val="24"/>
        </w:rPr>
      </w:pPr>
      <w:r w:rsidRPr="00A82F36">
        <w:rPr>
          <w:rStyle w:val="aa"/>
          <w:rFonts w:ascii="Times New Roman" w:hAnsi="Times New Roman" w:cs="Times New Roman"/>
          <w:sz w:val="24"/>
          <w:szCs w:val="24"/>
        </w:rPr>
        <w:footnoteRef/>
      </w:r>
      <w:r w:rsidRPr="00A82F36">
        <w:rPr>
          <w:rFonts w:ascii="Times New Roman" w:hAnsi="Times New Roman" w:cs="Times New Roman"/>
          <w:sz w:val="24"/>
          <w:szCs w:val="24"/>
        </w:rPr>
        <w:t xml:space="preserve"> </w:t>
      </w:r>
      <w:r w:rsidR="00A82F36" w:rsidRPr="00A82F36">
        <w:rPr>
          <w:rFonts w:ascii="Times New Roman" w:hAnsi="Times New Roman" w:cs="Times New Roman"/>
          <w:sz w:val="24"/>
          <w:szCs w:val="24"/>
        </w:rPr>
        <w:t>Меры господдержки анализируются только в приказе Минэкономразвития России от 13.05.2020 № 278.</w:t>
      </w:r>
    </w:p>
  </w:footnote>
  <w:footnote w:id="20">
    <w:p w:rsidR="00E46CD3" w:rsidRPr="00E076F8" w:rsidRDefault="00E46CD3" w:rsidP="00E46CD3">
      <w:pPr>
        <w:pStyle w:val="a8"/>
        <w:ind w:firstLine="709"/>
        <w:jc w:val="both"/>
        <w:rPr>
          <w:rFonts w:ascii="Times New Roman" w:hAnsi="Times New Roman" w:cs="Times New Roman"/>
          <w:sz w:val="24"/>
          <w:szCs w:val="24"/>
        </w:rPr>
      </w:pPr>
      <w:r w:rsidRPr="00E076F8">
        <w:rPr>
          <w:rStyle w:val="aa"/>
          <w:rFonts w:ascii="Times New Roman" w:hAnsi="Times New Roman" w:cs="Times New Roman"/>
          <w:sz w:val="24"/>
          <w:szCs w:val="24"/>
        </w:rPr>
        <w:footnoteRef/>
      </w:r>
      <w:r w:rsidRPr="00E076F8">
        <w:rPr>
          <w:rFonts w:ascii="Times New Roman" w:hAnsi="Times New Roman" w:cs="Times New Roman"/>
          <w:sz w:val="24"/>
          <w:szCs w:val="24"/>
        </w:rPr>
        <w:t xml:space="preserve"> </w:t>
      </w:r>
      <w:r w:rsidR="003675C1">
        <w:rPr>
          <w:rFonts w:ascii="Times New Roman" w:hAnsi="Times New Roman" w:cs="Times New Roman"/>
          <w:sz w:val="24"/>
          <w:szCs w:val="24"/>
        </w:rPr>
        <w:t xml:space="preserve">Национальная оценка рисков легализации (отмывания) преступных доходов. Риск использования юридических лиц-нерезидентов, а также структур без образования юридического лица (трасты) в схемах легализации преступных доходов в иностранных юрисдикциях / Публичный отчет. М.: </w:t>
      </w:r>
      <w:proofErr w:type="spellStart"/>
      <w:r w:rsidR="003675C1">
        <w:rPr>
          <w:rFonts w:ascii="Times New Roman" w:hAnsi="Times New Roman" w:cs="Times New Roman"/>
          <w:sz w:val="24"/>
          <w:szCs w:val="24"/>
        </w:rPr>
        <w:t>Росфинмониторинг</w:t>
      </w:r>
      <w:proofErr w:type="spellEnd"/>
      <w:r w:rsidR="003675C1">
        <w:rPr>
          <w:rFonts w:ascii="Times New Roman" w:hAnsi="Times New Roman" w:cs="Times New Roman"/>
          <w:sz w:val="24"/>
          <w:szCs w:val="24"/>
        </w:rPr>
        <w:t xml:space="preserve">, 2018. С. 14-15; </w:t>
      </w:r>
      <w:r w:rsidRPr="00E076F8">
        <w:rPr>
          <w:rFonts w:ascii="Times New Roman" w:hAnsi="Times New Roman" w:cs="Times New Roman"/>
          <w:sz w:val="24"/>
          <w:szCs w:val="24"/>
        </w:rPr>
        <w:t>Методология присвоени</w:t>
      </w:r>
      <w:r>
        <w:rPr>
          <w:rFonts w:ascii="Times New Roman" w:hAnsi="Times New Roman" w:cs="Times New Roman"/>
          <w:sz w:val="24"/>
          <w:szCs w:val="24"/>
        </w:rPr>
        <w:t>я</w:t>
      </w:r>
      <w:r w:rsidRPr="00E076F8">
        <w:rPr>
          <w:rFonts w:ascii="Times New Roman" w:hAnsi="Times New Roman" w:cs="Times New Roman"/>
          <w:sz w:val="24"/>
          <w:szCs w:val="24"/>
        </w:rPr>
        <w:t xml:space="preserve"> рейтингов кредитоспособности нефинансовым организациям</w:t>
      </w:r>
      <w:r>
        <w:rPr>
          <w:rFonts w:ascii="Times New Roman" w:hAnsi="Times New Roman" w:cs="Times New Roman"/>
          <w:sz w:val="24"/>
          <w:szCs w:val="24"/>
        </w:rPr>
        <w:t xml:space="preserve"> (утверждена на заседании методологического комитета № 256 от 24.08.2020)</w:t>
      </w:r>
      <w:r w:rsidRPr="00E076F8">
        <w:rPr>
          <w:rFonts w:ascii="Times New Roman" w:hAnsi="Times New Roman" w:cs="Times New Roman"/>
          <w:sz w:val="24"/>
          <w:szCs w:val="24"/>
        </w:rPr>
        <w:t>. Рейтинговое агентство «Эксперт РА».</w:t>
      </w:r>
      <w:r>
        <w:rPr>
          <w:rFonts w:ascii="Times New Roman" w:hAnsi="Times New Roman" w:cs="Times New Roman"/>
          <w:sz w:val="24"/>
          <w:szCs w:val="24"/>
        </w:rPr>
        <w:t xml:space="preserve"> С. 47-48; </w:t>
      </w:r>
      <w:r w:rsidRPr="009F585E">
        <w:rPr>
          <w:rFonts w:ascii="Times New Roman" w:hAnsi="Times New Roman" w:cs="Times New Roman"/>
          <w:sz w:val="24"/>
          <w:szCs w:val="24"/>
        </w:rPr>
        <w:t xml:space="preserve">Методология присвоения кредитных рейтингов нефинансовым компаниям по национальной шкале для Российской Федерации. Рейтинговое агентство «АКРА». С. </w:t>
      </w:r>
      <w:r>
        <w:rPr>
          <w:rFonts w:ascii="Times New Roman" w:hAnsi="Times New Roman" w:cs="Times New Roman"/>
          <w:sz w:val="24"/>
          <w:szCs w:val="24"/>
        </w:rPr>
        <w:t>26</w:t>
      </w:r>
      <w:r w:rsidRPr="009F585E">
        <w:rPr>
          <w:rFonts w:ascii="Times New Roman" w:hAnsi="Times New Roman" w:cs="Times New Roman"/>
          <w:sz w:val="24"/>
          <w:szCs w:val="24"/>
        </w:rPr>
        <w:t>.</w:t>
      </w:r>
    </w:p>
  </w:footnote>
  <w:footnote w:id="21">
    <w:p w:rsidR="00495B9B" w:rsidRPr="00495B9B" w:rsidRDefault="00495B9B" w:rsidP="00495B9B">
      <w:pPr>
        <w:pStyle w:val="a8"/>
        <w:ind w:firstLine="709"/>
        <w:jc w:val="both"/>
        <w:rPr>
          <w:rFonts w:ascii="Times New Roman" w:hAnsi="Times New Roman" w:cs="Times New Roman"/>
          <w:sz w:val="24"/>
          <w:szCs w:val="24"/>
        </w:rPr>
      </w:pPr>
      <w:r w:rsidRPr="00495B9B">
        <w:rPr>
          <w:rStyle w:val="aa"/>
          <w:rFonts w:ascii="Times New Roman" w:hAnsi="Times New Roman" w:cs="Times New Roman"/>
          <w:sz w:val="24"/>
          <w:szCs w:val="24"/>
        </w:rPr>
        <w:footnoteRef/>
      </w:r>
      <w:r w:rsidRPr="00495B9B">
        <w:rPr>
          <w:rFonts w:ascii="Times New Roman" w:hAnsi="Times New Roman" w:cs="Times New Roman"/>
          <w:sz w:val="24"/>
          <w:szCs w:val="24"/>
        </w:rPr>
        <w:t xml:space="preserve"> К числу общепризнанных аудиторских организаций с высокой деловой репутацией относятся аудиторские организац</w:t>
      </w:r>
      <w:proofErr w:type="gramStart"/>
      <w:r w:rsidRPr="00495B9B">
        <w:rPr>
          <w:rFonts w:ascii="Times New Roman" w:hAnsi="Times New Roman" w:cs="Times New Roman"/>
          <w:sz w:val="24"/>
          <w:szCs w:val="24"/>
        </w:rPr>
        <w:t>ии АО</w:t>
      </w:r>
      <w:proofErr w:type="gramEnd"/>
      <w:r w:rsidRPr="00495B9B">
        <w:rPr>
          <w:rFonts w:ascii="Times New Roman" w:hAnsi="Times New Roman" w:cs="Times New Roman"/>
          <w:sz w:val="24"/>
          <w:szCs w:val="24"/>
        </w:rPr>
        <w:t xml:space="preserve"> «КПМГ», ООО «Эрнст энд Янг», АО «</w:t>
      </w:r>
      <w:proofErr w:type="spellStart"/>
      <w:r w:rsidRPr="00495B9B">
        <w:rPr>
          <w:rFonts w:ascii="Times New Roman" w:hAnsi="Times New Roman" w:cs="Times New Roman"/>
          <w:sz w:val="24"/>
          <w:szCs w:val="24"/>
        </w:rPr>
        <w:t>Прайсвотерхаускуперс</w:t>
      </w:r>
      <w:proofErr w:type="spellEnd"/>
      <w:r w:rsidRPr="00495B9B">
        <w:rPr>
          <w:rFonts w:ascii="Times New Roman" w:hAnsi="Times New Roman" w:cs="Times New Roman"/>
          <w:sz w:val="24"/>
          <w:szCs w:val="24"/>
        </w:rPr>
        <w:t xml:space="preserve">  Аудит», ЗАО «</w:t>
      </w:r>
      <w:proofErr w:type="spellStart"/>
      <w:r w:rsidRPr="00495B9B">
        <w:rPr>
          <w:rFonts w:ascii="Times New Roman" w:hAnsi="Times New Roman" w:cs="Times New Roman"/>
          <w:sz w:val="24"/>
          <w:szCs w:val="24"/>
        </w:rPr>
        <w:t>Делойт</w:t>
      </w:r>
      <w:proofErr w:type="spellEnd"/>
      <w:r w:rsidRPr="00495B9B">
        <w:rPr>
          <w:rFonts w:ascii="Times New Roman" w:hAnsi="Times New Roman" w:cs="Times New Roman"/>
          <w:sz w:val="24"/>
          <w:szCs w:val="24"/>
        </w:rPr>
        <w:t xml:space="preserve"> и Туш СНГ», ООО Бейкер Тилли Рус», ООО «</w:t>
      </w:r>
      <w:proofErr w:type="spellStart"/>
      <w:r w:rsidRPr="00495B9B">
        <w:rPr>
          <w:rFonts w:ascii="Times New Roman" w:hAnsi="Times New Roman" w:cs="Times New Roman"/>
          <w:sz w:val="24"/>
          <w:szCs w:val="24"/>
        </w:rPr>
        <w:t>Моор</w:t>
      </w:r>
      <w:proofErr w:type="spellEnd"/>
      <w:r w:rsidRPr="00495B9B">
        <w:rPr>
          <w:rFonts w:ascii="Times New Roman" w:hAnsi="Times New Roman" w:cs="Times New Roman"/>
          <w:sz w:val="24"/>
          <w:szCs w:val="24"/>
        </w:rPr>
        <w:t xml:space="preserve"> </w:t>
      </w:r>
      <w:proofErr w:type="spellStart"/>
      <w:r w:rsidRPr="00495B9B">
        <w:rPr>
          <w:rFonts w:ascii="Times New Roman" w:hAnsi="Times New Roman" w:cs="Times New Roman"/>
          <w:sz w:val="24"/>
          <w:szCs w:val="24"/>
        </w:rPr>
        <w:t>Стивенс</w:t>
      </w:r>
      <w:proofErr w:type="spellEnd"/>
      <w:r w:rsidRPr="00495B9B">
        <w:rPr>
          <w:rFonts w:ascii="Times New Roman" w:hAnsi="Times New Roman" w:cs="Times New Roman"/>
          <w:sz w:val="24"/>
          <w:szCs w:val="24"/>
        </w:rPr>
        <w:t>», ООО «Финансовые и бухгалтерские консультанты», ООО «</w:t>
      </w:r>
      <w:proofErr w:type="spellStart"/>
      <w:r w:rsidRPr="00495B9B">
        <w:rPr>
          <w:rFonts w:ascii="Times New Roman" w:hAnsi="Times New Roman" w:cs="Times New Roman"/>
          <w:sz w:val="24"/>
          <w:szCs w:val="24"/>
        </w:rPr>
        <w:t>Росэкспертиза</w:t>
      </w:r>
      <w:proofErr w:type="spellEnd"/>
      <w:r w:rsidRPr="00495B9B">
        <w:rPr>
          <w:rFonts w:ascii="Times New Roman" w:hAnsi="Times New Roman" w:cs="Times New Roman"/>
          <w:sz w:val="24"/>
          <w:szCs w:val="24"/>
        </w:rPr>
        <w:t>».</w:t>
      </w:r>
    </w:p>
  </w:footnote>
  <w:footnote w:id="22">
    <w:p w:rsidR="00C44580" w:rsidRPr="00C44580" w:rsidRDefault="00C44580" w:rsidP="00C44580">
      <w:pPr>
        <w:pStyle w:val="a8"/>
        <w:ind w:firstLine="709"/>
        <w:jc w:val="both"/>
        <w:rPr>
          <w:rFonts w:ascii="Times New Roman" w:hAnsi="Times New Roman" w:cs="Times New Roman"/>
          <w:sz w:val="24"/>
          <w:szCs w:val="24"/>
        </w:rPr>
      </w:pPr>
      <w:r w:rsidRPr="00C44580">
        <w:rPr>
          <w:rStyle w:val="aa"/>
          <w:rFonts w:ascii="Times New Roman" w:hAnsi="Times New Roman" w:cs="Times New Roman"/>
          <w:sz w:val="24"/>
          <w:szCs w:val="24"/>
        </w:rPr>
        <w:footnoteRef/>
      </w:r>
      <w:r w:rsidRPr="00C44580">
        <w:rPr>
          <w:rFonts w:ascii="Times New Roman" w:hAnsi="Times New Roman" w:cs="Times New Roman"/>
          <w:sz w:val="24"/>
          <w:szCs w:val="24"/>
        </w:rPr>
        <w:t xml:space="preserve"> На это могут указывать обременения акций (долей) владения и отсутствие юридического контроля консолидирующей компании над активами.</w:t>
      </w:r>
    </w:p>
  </w:footnote>
  <w:footnote w:id="23">
    <w:p w:rsidR="00E94858" w:rsidRDefault="00E94858" w:rsidP="00E94858">
      <w:pPr>
        <w:pStyle w:val="a8"/>
        <w:ind w:firstLine="709"/>
        <w:jc w:val="both"/>
      </w:pPr>
      <w:r>
        <w:rPr>
          <w:rStyle w:val="aa"/>
        </w:rPr>
        <w:footnoteRef/>
      </w:r>
      <w:r>
        <w:t xml:space="preserve"> </w:t>
      </w:r>
      <w:r w:rsidRPr="00E076F8">
        <w:rPr>
          <w:rFonts w:ascii="Times New Roman" w:hAnsi="Times New Roman" w:cs="Times New Roman"/>
          <w:sz w:val="24"/>
          <w:szCs w:val="24"/>
        </w:rPr>
        <w:t>Методология присвоени</w:t>
      </w:r>
      <w:r>
        <w:rPr>
          <w:rFonts w:ascii="Times New Roman" w:hAnsi="Times New Roman" w:cs="Times New Roman"/>
          <w:sz w:val="24"/>
          <w:szCs w:val="24"/>
        </w:rPr>
        <w:t>я</w:t>
      </w:r>
      <w:r w:rsidRPr="00E076F8">
        <w:rPr>
          <w:rFonts w:ascii="Times New Roman" w:hAnsi="Times New Roman" w:cs="Times New Roman"/>
          <w:sz w:val="24"/>
          <w:szCs w:val="24"/>
        </w:rPr>
        <w:t xml:space="preserve"> рейтингов кредитоспособности нефинансовым организациям</w:t>
      </w:r>
      <w:r>
        <w:rPr>
          <w:rFonts w:ascii="Times New Roman" w:hAnsi="Times New Roman" w:cs="Times New Roman"/>
          <w:sz w:val="24"/>
          <w:szCs w:val="24"/>
        </w:rPr>
        <w:t xml:space="preserve"> (утверждена на заседании методологического комитета № 256 от 24.08.2020)</w:t>
      </w:r>
      <w:r w:rsidRPr="00E076F8">
        <w:rPr>
          <w:rFonts w:ascii="Times New Roman" w:hAnsi="Times New Roman" w:cs="Times New Roman"/>
          <w:sz w:val="24"/>
          <w:szCs w:val="24"/>
        </w:rPr>
        <w:t>. Рейтинговое агентство «Эксперт РА».</w:t>
      </w:r>
      <w:r>
        <w:rPr>
          <w:rFonts w:ascii="Times New Roman" w:hAnsi="Times New Roman" w:cs="Times New Roman"/>
          <w:sz w:val="24"/>
          <w:szCs w:val="24"/>
        </w:rPr>
        <w:t xml:space="preserve"> С. 56-58, 60</w:t>
      </w:r>
      <w:r w:rsidR="00467551">
        <w:rPr>
          <w:rFonts w:ascii="Times New Roman" w:hAnsi="Times New Roman" w:cs="Times New Roman"/>
          <w:sz w:val="24"/>
          <w:szCs w:val="24"/>
        </w:rPr>
        <w:t>;</w:t>
      </w:r>
      <w:r w:rsidR="00467551" w:rsidRPr="00467551">
        <w:rPr>
          <w:rFonts w:ascii="Times New Roman" w:hAnsi="Times New Roman" w:cs="Times New Roman"/>
          <w:sz w:val="24"/>
          <w:szCs w:val="24"/>
        </w:rPr>
        <w:t xml:space="preserve"> </w:t>
      </w:r>
      <w:r w:rsidR="00467551">
        <w:rPr>
          <w:rFonts w:ascii="Times New Roman" w:hAnsi="Times New Roman" w:cs="Times New Roman"/>
          <w:sz w:val="24"/>
          <w:szCs w:val="24"/>
        </w:rPr>
        <w:t xml:space="preserve">Негативные практики государственного вмешательства оцениваются в </w:t>
      </w:r>
      <w:r w:rsidR="00467551" w:rsidRPr="000B4F6D">
        <w:rPr>
          <w:rFonts w:ascii="Times New Roman" w:hAnsi="Times New Roman" w:cs="Times New Roman"/>
          <w:sz w:val="24"/>
          <w:szCs w:val="24"/>
        </w:rPr>
        <w:t>Методологи</w:t>
      </w:r>
      <w:r w:rsidR="00467551">
        <w:rPr>
          <w:rFonts w:ascii="Times New Roman" w:hAnsi="Times New Roman" w:cs="Times New Roman"/>
          <w:sz w:val="24"/>
          <w:szCs w:val="24"/>
        </w:rPr>
        <w:t>и</w:t>
      </w:r>
      <w:r w:rsidR="00467551" w:rsidRPr="000B4F6D">
        <w:rPr>
          <w:rFonts w:ascii="Times New Roman" w:hAnsi="Times New Roman" w:cs="Times New Roman"/>
          <w:sz w:val="24"/>
          <w:szCs w:val="24"/>
        </w:rPr>
        <w:t xml:space="preserve"> присвоения рейтингов организациям, связанным с государством. </w:t>
      </w:r>
      <w:r w:rsidR="00467551" w:rsidRPr="000B4F6D">
        <w:rPr>
          <w:rFonts w:ascii="Times New Roman" w:hAnsi="Times New Roman" w:cs="Times New Roman"/>
          <w:sz w:val="24"/>
          <w:szCs w:val="24"/>
          <w:lang w:val="en-US"/>
        </w:rPr>
        <w:t>Standard</w:t>
      </w:r>
      <w:r w:rsidR="00467551" w:rsidRPr="000B4F6D">
        <w:rPr>
          <w:rFonts w:ascii="Times New Roman" w:hAnsi="Times New Roman" w:cs="Times New Roman"/>
          <w:sz w:val="24"/>
          <w:szCs w:val="24"/>
        </w:rPr>
        <w:t xml:space="preserve"> &amp;</w:t>
      </w:r>
      <w:proofErr w:type="spellStart"/>
      <w:r w:rsidR="00467551" w:rsidRPr="000B4F6D">
        <w:rPr>
          <w:rFonts w:ascii="Times New Roman" w:hAnsi="Times New Roman" w:cs="Times New Roman"/>
          <w:sz w:val="24"/>
          <w:szCs w:val="24"/>
          <w:lang w:val="en-US"/>
        </w:rPr>
        <w:t>Poors</w:t>
      </w:r>
      <w:proofErr w:type="spellEnd"/>
      <w:r w:rsidR="00467551" w:rsidRPr="000B4F6D">
        <w:rPr>
          <w:rFonts w:ascii="Times New Roman" w:hAnsi="Times New Roman" w:cs="Times New Roman"/>
          <w:sz w:val="24"/>
          <w:szCs w:val="24"/>
        </w:rPr>
        <w:t>. 25.03.2015.</w:t>
      </w:r>
    </w:p>
  </w:footnote>
  <w:footnote w:id="24">
    <w:p w:rsidR="00BB01E2" w:rsidRDefault="00BB01E2" w:rsidP="00BB01E2">
      <w:pPr>
        <w:pStyle w:val="a8"/>
        <w:ind w:firstLine="709"/>
        <w:jc w:val="both"/>
      </w:pPr>
      <w:r>
        <w:rPr>
          <w:rStyle w:val="aa"/>
        </w:rPr>
        <w:footnoteRef/>
      </w:r>
      <w:r>
        <w:t xml:space="preserve"> </w:t>
      </w:r>
      <w:r w:rsidRPr="00E076F8">
        <w:rPr>
          <w:rFonts w:ascii="Times New Roman" w:hAnsi="Times New Roman" w:cs="Times New Roman"/>
          <w:sz w:val="24"/>
          <w:szCs w:val="24"/>
        </w:rPr>
        <w:t>Методология присвоени</w:t>
      </w:r>
      <w:r>
        <w:rPr>
          <w:rFonts w:ascii="Times New Roman" w:hAnsi="Times New Roman" w:cs="Times New Roman"/>
          <w:sz w:val="24"/>
          <w:szCs w:val="24"/>
        </w:rPr>
        <w:t>я</w:t>
      </w:r>
      <w:r w:rsidRPr="00E076F8">
        <w:rPr>
          <w:rFonts w:ascii="Times New Roman" w:hAnsi="Times New Roman" w:cs="Times New Roman"/>
          <w:sz w:val="24"/>
          <w:szCs w:val="24"/>
        </w:rPr>
        <w:t xml:space="preserve"> рейтингов кредитоспособности нефинансовым организациям</w:t>
      </w:r>
      <w:r>
        <w:rPr>
          <w:rFonts w:ascii="Times New Roman" w:hAnsi="Times New Roman" w:cs="Times New Roman"/>
          <w:sz w:val="24"/>
          <w:szCs w:val="24"/>
        </w:rPr>
        <w:t xml:space="preserve"> (утверждена на заседании методологического комитета № 256 от 24.08.2020)</w:t>
      </w:r>
      <w:r w:rsidRPr="00E076F8">
        <w:rPr>
          <w:rFonts w:ascii="Times New Roman" w:hAnsi="Times New Roman" w:cs="Times New Roman"/>
          <w:sz w:val="24"/>
          <w:szCs w:val="24"/>
        </w:rPr>
        <w:t>. Рейтинговое агентство «Эксперт РА».</w:t>
      </w:r>
      <w:r>
        <w:rPr>
          <w:rFonts w:ascii="Times New Roman" w:hAnsi="Times New Roman" w:cs="Times New Roman"/>
          <w:sz w:val="24"/>
          <w:szCs w:val="24"/>
        </w:rPr>
        <w:t xml:space="preserve"> С. 58, 61-63</w:t>
      </w:r>
      <w:r w:rsidR="000B4F6D">
        <w:rPr>
          <w:rFonts w:ascii="Times New Roman" w:hAnsi="Times New Roman" w:cs="Times New Roman"/>
          <w:sz w:val="24"/>
          <w:szCs w:val="24"/>
        </w:rPr>
        <w:t>.</w:t>
      </w:r>
    </w:p>
  </w:footnote>
  <w:footnote w:id="25">
    <w:p w:rsidR="000B4F6D" w:rsidRPr="002456FF" w:rsidRDefault="000B4F6D" w:rsidP="000B4F6D">
      <w:pPr>
        <w:pStyle w:val="a8"/>
        <w:ind w:firstLine="709"/>
        <w:jc w:val="both"/>
        <w:rPr>
          <w:rFonts w:ascii="Times New Roman" w:hAnsi="Times New Roman" w:cs="Times New Roman"/>
          <w:sz w:val="24"/>
          <w:szCs w:val="24"/>
          <w:lang w:val="en-US"/>
        </w:rPr>
      </w:pPr>
      <w:r w:rsidRPr="000B4F6D">
        <w:rPr>
          <w:rStyle w:val="aa"/>
          <w:rFonts w:ascii="Times New Roman" w:hAnsi="Times New Roman" w:cs="Times New Roman"/>
          <w:sz w:val="24"/>
          <w:szCs w:val="24"/>
        </w:rPr>
        <w:footnoteRef/>
      </w:r>
      <w:r w:rsidRPr="000B4F6D">
        <w:rPr>
          <w:rFonts w:ascii="Times New Roman" w:hAnsi="Times New Roman" w:cs="Times New Roman"/>
          <w:sz w:val="24"/>
          <w:szCs w:val="24"/>
        </w:rPr>
        <w:t xml:space="preserve"> Методология присвоения рейтингов организациям, связанным с государством. </w:t>
      </w:r>
      <w:r w:rsidRPr="000B4F6D">
        <w:rPr>
          <w:rFonts w:ascii="Times New Roman" w:hAnsi="Times New Roman" w:cs="Times New Roman"/>
          <w:sz w:val="24"/>
          <w:szCs w:val="24"/>
          <w:lang w:val="en-US"/>
        </w:rPr>
        <w:t>Standard</w:t>
      </w:r>
      <w:r w:rsidRPr="002456FF">
        <w:rPr>
          <w:rFonts w:ascii="Times New Roman" w:hAnsi="Times New Roman" w:cs="Times New Roman"/>
          <w:sz w:val="24"/>
          <w:szCs w:val="24"/>
          <w:lang w:val="en-US"/>
        </w:rPr>
        <w:t xml:space="preserve"> &amp;</w:t>
      </w:r>
      <w:proofErr w:type="spellStart"/>
      <w:r w:rsidRPr="000B4F6D">
        <w:rPr>
          <w:rFonts w:ascii="Times New Roman" w:hAnsi="Times New Roman" w:cs="Times New Roman"/>
          <w:sz w:val="24"/>
          <w:szCs w:val="24"/>
          <w:lang w:val="en-US"/>
        </w:rPr>
        <w:t>Poors</w:t>
      </w:r>
      <w:proofErr w:type="spellEnd"/>
      <w:r w:rsidRPr="002456FF">
        <w:rPr>
          <w:rFonts w:ascii="Times New Roman" w:hAnsi="Times New Roman" w:cs="Times New Roman"/>
          <w:sz w:val="24"/>
          <w:szCs w:val="24"/>
          <w:lang w:val="en-US"/>
        </w:rPr>
        <w:t xml:space="preserve">. 25.03.2015. </w:t>
      </w:r>
    </w:p>
  </w:footnote>
  <w:footnote w:id="26">
    <w:p w:rsidR="00031912" w:rsidRPr="003F3C91" w:rsidRDefault="00031912" w:rsidP="00031912">
      <w:pPr>
        <w:pStyle w:val="a8"/>
        <w:ind w:firstLine="709"/>
        <w:jc w:val="both"/>
        <w:rPr>
          <w:rFonts w:ascii="Times New Roman" w:hAnsi="Times New Roman" w:cs="Times New Roman"/>
          <w:sz w:val="24"/>
          <w:szCs w:val="24"/>
          <w:lang w:val="en-US"/>
        </w:rPr>
      </w:pPr>
      <w:r w:rsidRPr="00031912">
        <w:rPr>
          <w:rStyle w:val="aa"/>
          <w:rFonts w:ascii="Times New Roman" w:hAnsi="Times New Roman" w:cs="Times New Roman"/>
          <w:sz w:val="24"/>
          <w:szCs w:val="24"/>
        </w:rPr>
        <w:footnoteRef/>
      </w:r>
      <w:r w:rsidRPr="00031912">
        <w:rPr>
          <w:rFonts w:ascii="Times New Roman" w:hAnsi="Times New Roman" w:cs="Times New Roman"/>
          <w:sz w:val="24"/>
          <w:szCs w:val="24"/>
          <w:lang w:val="en-US"/>
        </w:rPr>
        <w:t xml:space="preserve"> Cross-sectoral Government-Related Issuers Methodology. </w:t>
      </w:r>
      <w:proofErr w:type="spellStart"/>
      <w:r w:rsidRPr="00031912">
        <w:rPr>
          <w:rFonts w:ascii="Times New Roman" w:hAnsi="Times New Roman" w:cs="Times New Roman"/>
          <w:sz w:val="24"/>
          <w:szCs w:val="24"/>
          <w:lang w:val="en-US"/>
        </w:rPr>
        <w:t>Moodys</w:t>
      </w:r>
      <w:proofErr w:type="spellEnd"/>
      <w:r w:rsidRPr="00D56320">
        <w:rPr>
          <w:rFonts w:ascii="Times New Roman" w:hAnsi="Times New Roman" w:cs="Times New Roman"/>
          <w:sz w:val="24"/>
          <w:szCs w:val="24"/>
          <w:lang w:val="en-US"/>
        </w:rPr>
        <w:t xml:space="preserve"> </w:t>
      </w:r>
      <w:r w:rsidRPr="00031912">
        <w:rPr>
          <w:rFonts w:ascii="Times New Roman" w:hAnsi="Times New Roman" w:cs="Times New Roman"/>
          <w:sz w:val="24"/>
          <w:szCs w:val="24"/>
          <w:lang w:val="en-US"/>
        </w:rPr>
        <w:t>Investors</w:t>
      </w:r>
      <w:r w:rsidRPr="00D56320">
        <w:rPr>
          <w:rFonts w:ascii="Times New Roman" w:hAnsi="Times New Roman" w:cs="Times New Roman"/>
          <w:sz w:val="24"/>
          <w:szCs w:val="24"/>
          <w:lang w:val="en-US"/>
        </w:rPr>
        <w:t xml:space="preserve"> </w:t>
      </w:r>
      <w:r w:rsidRPr="00031912">
        <w:rPr>
          <w:rFonts w:ascii="Times New Roman" w:hAnsi="Times New Roman" w:cs="Times New Roman"/>
          <w:sz w:val="24"/>
          <w:szCs w:val="24"/>
          <w:lang w:val="en-US"/>
        </w:rPr>
        <w:t>Service</w:t>
      </w:r>
      <w:r w:rsidRPr="00D56320">
        <w:rPr>
          <w:rFonts w:ascii="Times New Roman" w:hAnsi="Times New Roman" w:cs="Times New Roman"/>
          <w:sz w:val="24"/>
          <w:szCs w:val="24"/>
          <w:lang w:val="en-US"/>
        </w:rPr>
        <w:t xml:space="preserve">. </w:t>
      </w:r>
      <w:r w:rsidRPr="003F3C91">
        <w:rPr>
          <w:rFonts w:ascii="Times New Roman" w:hAnsi="Times New Roman" w:cs="Times New Roman"/>
          <w:sz w:val="24"/>
          <w:szCs w:val="24"/>
          <w:lang w:val="en-US"/>
        </w:rPr>
        <w:t xml:space="preserve">21 </w:t>
      </w:r>
      <w:r w:rsidRPr="00031912">
        <w:rPr>
          <w:rFonts w:ascii="Times New Roman" w:hAnsi="Times New Roman" w:cs="Times New Roman"/>
          <w:sz w:val="24"/>
          <w:szCs w:val="24"/>
          <w:lang w:val="en-US"/>
        </w:rPr>
        <w:t>Feb</w:t>
      </w:r>
      <w:r w:rsidRPr="003F3C91">
        <w:rPr>
          <w:rFonts w:ascii="Times New Roman" w:hAnsi="Times New Roman" w:cs="Times New Roman"/>
          <w:sz w:val="24"/>
          <w:szCs w:val="24"/>
          <w:lang w:val="en-US"/>
        </w:rPr>
        <w:t xml:space="preserve"> 2020. </w:t>
      </w:r>
      <w:r w:rsidR="000B6063">
        <w:rPr>
          <w:rFonts w:ascii="Times New Roman" w:hAnsi="Times New Roman" w:cs="Times New Roman"/>
          <w:sz w:val="24"/>
          <w:szCs w:val="24"/>
          <w:lang w:val="en-US"/>
        </w:rPr>
        <w:t>P</w:t>
      </w:r>
      <w:r w:rsidR="000B6063" w:rsidRPr="003F3C91">
        <w:rPr>
          <w:rFonts w:ascii="Times New Roman" w:hAnsi="Times New Roman" w:cs="Times New Roman"/>
          <w:sz w:val="24"/>
          <w:szCs w:val="24"/>
          <w:lang w:val="en-US"/>
        </w:rPr>
        <w:t>.7</w:t>
      </w:r>
      <w:proofErr w:type="gramStart"/>
      <w:r w:rsidR="000B6063" w:rsidRPr="003F3C91">
        <w:rPr>
          <w:rFonts w:ascii="Times New Roman" w:hAnsi="Times New Roman" w:cs="Times New Roman"/>
          <w:sz w:val="24"/>
          <w:szCs w:val="24"/>
          <w:lang w:val="en-US"/>
        </w:rPr>
        <w:t>,10</w:t>
      </w:r>
      <w:proofErr w:type="gramEnd"/>
      <w:r w:rsidR="000B6063" w:rsidRPr="003F3C91">
        <w:rPr>
          <w:rFonts w:ascii="Times New Roman" w:hAnsi="Times New Roman" w:cs="Times New Roman"/>
          <w:sz w:val="24"/>
          <w:szCs w:val="24"/>
          <w:lang w:val="en-US"/>
        </w:rPr>
        <w:t>.</w:t>
      </w:r>
    </w:p>
  </w:footnote>
  <w:footnote w:id="27">
    <w:p w:rsidR="00250522" w:rsidRPr="009F585E" w:rsidRDefault="00250522" w:rsidP="009F585E">
      <w:pPr>
        <w:pStyle w:val="a8"/>
        <w:ind w:firstLine="709"/>
        <w:jc w:val="both"/>
        <w:rPr>
          <w:rFonts w:ascii="Times New Roman" w:hAnsi="Times New Roman" w:cs="Times New Roman"/>
          <w:sz w:val="24"/>
          <w:szCs w:val="24"/>
        </w:rPr>
      </w:pPr>
      <w:r w:rsidRPr="009F585E">
        <w:rPr>
          <w:rStyle w:val="aa"/>
          <w:rFonts w:ascii="Times New Roman" w:hAnsi="Times New Roman" w:cs="Times New Roman"/>
          <w:sz w:val="24"/>
          <w:szCs w:val="24"/>
        </w:rPr>
        <w:footnoteRef/>
      </w:r>
      <w:r w:rsidRPr="009F585E">
        <w:rPr>
          <w:rFonts w:ascii="Times New Roman" w:hAnsi="Times New Roman" w:cs="Times New Roman"/>
          <w:sz w:val="24"/>
          <w:szCs w:val="24"/>
        </w:rPr>
        <w:t xml:space="preserve"> </w:t>
      </w:r>
      <w:r w:rsidR="009F585E" w:rsidRPr="009F585E">
        <w:rPr>
          <w:rFonts w:ascii="Times New Roman" w:hAnsi="Times New Roman" w:cs="Times New Roman"/>
          <w:sz w:val="24"/>
          <w:szCs w:val="24"/>
        </w:rPr>
        <w:t xml:space="preserve">Методология присвоения кредитных рейтингов нефинансовым компаниям по национальной шкале для Российской Федерации. Рейтинговое агентство «АКРА». С. </w:t>
      </w:r>
      <w:r w:rsidR="00F35238">
        <w:rPr>
          <w:rFonts w:ascii="Times New Roman" w:hAnsi="Times New Roman" w:cs="Times New Roman"/>
          <w:sz w:val="24"/>
          <w:szCs w:val="24"/>
        </w:rPr>
        <w:t>22-</w:t>
      </w:r>
      <w:r w:rsidR="009F585E" w:rsidRPr="009F585E">
        <w:rPr>
          <w:rFonts w:ascii="Times New Roman" w:hAnsi="Times New Roman" w:cs="Times New Roman"/>
          <w:sz w:val="24"/>
          <w:szCs w:val="24"/>
        </w:rPr>
        <w:t>24.</w:t>
      </w:r>
    </w:p>
  </w:footnote>
  <w:footnote w:id="28">
    <w:p w:rsidR="00D63198" w:rsidRPr="00D63198" w:rsidRDefault="00D63198" w:rsidP="00D63198">
      <w:pPr>
        <w:pStyle w:val="a8"/>
        <w:ind w:firstLine="709"/>
        <w:jc w:val="both"/>
        <w:rPr>
          <w:rFonts w:ascii="Times New Roman" w:hAnsi="Times New Roman" w:cs="Times New Roman"/>
          <w:sz w:val="24"/>
          <w:szCs w:val="24"/>
        </w:rPr>
      </w:pPr>
      <w:r w:rsidRPr="00D63198">
        <w:rPr>
          <w:rStyle w:val="aa"/>
          <w:rFonts w:ascii="Times New Roman" w:hAnsi="Times New Roman" w:cs="Times New Roman"/>
          <w:sz w:val="24"/>
          <w:szCs w:val="24"/>
        </w:rPr>
        <w:footnoteRef/>
      </w:r>
      <w:r w:rsidRPr="00D63198">
        <w:rPr>
          <w:rFonts w:ascii="Times New Roman" w:hAnsi="Times New Roman" w:cs="Times New Roman"/>
          <w:sz w:val="24"/>
          <w:szCs w:val="24"/>
        </w:rPr>
        <w:t xml:space="preserve"> Там же.</w:t>
      </w:r>
    </w:p>
  </w:footnote>
  <w:footnote w:id="29">
    <w:p w:rsidR="00EF6284" w:rsidRPr="0065484F" w:rsidRDefault="00EF6284" w:rsidP="0065484F">
      <w:pPr>
        <w:pStyle w:val="a8"/>
        <w:ind w:firstLine="709"/>
        <w:jc w:val="both"/>
        <w:rPr>
          <w:rFonts w:ascii="Times New Roman" w:hAnsi="Times New Roman" w:cs="Times New Roman"/>
          <w:sz w:val="24"/>
          <w:szCs w:val="24"/>
        </w:rPr>
      </w:pPr>
      <w:r w:rsidRPr="0065484F">
        <w:rPr>
          <w:rStyle w:val="aa"/>
          <w:rFonts w:ascii="Times New Roman" w:hAnsi="Times New Roman" w:cs="Times New Roman"/>
          <w:sz w:val="24"/>
          <w:szCs w:val="24"/>
        </w:rPr>
        <w:footnoteRef/>
      </w:r>
      <w:r w:rsidRPr="0065484F">
        <w:rPr>
          <w:rFonts w:ascii="Times New Roman" w:hAnsi="Times New Roman" w:cs="Times New Roman"/>
          <w:sz w:val="24"/>
          <w:szCs w:val="24"/>
        </w:rPr>
        <w:t xml:space="preserve"> </w:t>
      </w:r>
      <w:r w:rsidR="00B35F3F" w:rsidRPr="0065484F">
        <w:rPr>
          <w:rFonts w:ascii="Times New Roman" w:hAnsi="Times New Roman" w:cs="Times New Roman"/>
          <w:sz w:val="24"/>
          <w:szCs w:val="24"/>
        </w:rPr>
        <w:t xml:space="preserve">Приказ Министерства финансов Российской Федерации от 28.12.2015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w:t>
      </w:r>
      <w:proofErr w:type="gramStart"/>
      <w:r w:rsidR="00B35F3F" w:rsidRPr="0065484F">
        <w:rPr>
          <w:rFonts w:ascii="Times New Roman" w:hAnsi="Times New Roman" w:cs="Times New Roman"/>
          <w:sz w:val="24"/>
          <w:szCs w:val="24"/>
        </w:rPr>
        <w:t>утратившими</w:t>
      </w:r>
      <w:proofErr w:type="gramEnd"/>
      <w:r w:rsidR="00B35F3F" w:rsidRPr="0065484F">
        <w:rPr>
          <w:rFonts w:ascii="Times New Roman" w:hAnsi="Times New Roman" w:cs="Times New Roman"/>
          <w:sz w:val="24"/>
          <w:szCs w:val="24"/>
        </w:rPr>
        <w:t xml:space="preserve"> силу </w:t>
      </w:r>
      <w:r w:rsidR="0065484F" w:rsidRPr="0065484F">
        <w:rPr>
          <w:rFonts w:ascii="Times New Roman" w:hAnsi="Times New Roman" w:cs="Times New Roman"/>
          <w:sz w:val="24"/>
          <w:szCs w:val="24"/>
        </w:rPr>
        <w:t xml:space="preserve"> некоторых приказов (отдельных положений приказов) Министерства финансов Российской Федерации».</w:t>
      </w:r>
    </w:p>
  </w:footnote>
  <w:footnote w:id="30">
    <w:p w:rsidR="00BE2C07" w:rsidRPr="00BE2C07" w:rsidRDefault="00BE2C07" w:rsidP="00BE2C07">
      <w:pPr>
        <w:pStyle w:val="a8"/>
        <w:ind w:firstLine="709"/>
        <w:jc w:val="both"/>
        <w:rPr>
          <w:rFonts w:ascii="Times New Roman" w:hAnsi="Times New Roman" w:cs="Times New Roman"/>
          <w:sz w:val="24"/>
          <w:szCs w:val="24"/>
        </w:rPr>
      </w:pPr>
      <w:r w:rsidRPr="00BE2C07">
        <w:rPr>
          <w:rStyle w:val="aa"/>
          <w:rFonts w:ascii="Times New Roman" w:hAnsi="Times New Roman" w:cs="Times New Roman"/>
          <w:sz w:val="24"/>
          <w:szCs w:val="24"/>
        </w:rPr>
        <w:footnoteRef/>
      </w:r>
      <w:r w:rsidRPr="00BE2C07">
        <w:rPr>
          <w:rFonts w:ascii="Times New Roman" w:hAnsi="Times New Roman" w:cs="Times New Roman"/>
          <w:sz w:val="24"/>
          <w:szCs w:val="24"/>
        </w:rPr>
        <w:t xml:space="preserve"> Проблемы совершенствования бухгалтерского учета и отчетности, сближения российских и международных стандартов бухгалтерской отчетности рассмотрены в работах Е.К. Климовой, Н. Т. </w:t>
      </w:r>
      <w:proofErr w:type="spellStart"/>
      <w:r w:rsidRPr="00BE2C07">
        <w:rPr>
          <w:rFonts w:ascii="Times New Roman" w:hAnsi="Times New Roman" w:cs="Times New Roman"/>
          <w:sz w:val="24"/>
          <w:szCs w:val="24"/>
        </w:rPr>
        <w:t>Лабынцева</w:t>
      </w:r>
      <w:proofErr w:type="spellEnd"/>
      <w:r w:rsidRPr="00BE2C07">
        <w:rPr>
          <w:rFonts w:ascii="Times New Roman" w:hAnsi="Times New Roman" w:cs="Times New Roman"/>
          <w:sz w:val="24"/>
          <w:szCs w:val="24"/>
        </w:rPr>
        <w:t>, С.В. Пономаревой, Л.И. Ткаченко, Л.Б. Трофимовой и др. См.</w:t>
      </w:r>
      <w:r w:rsidR="007A289A">
        <w:rPr>
          <w:rFonts w:ascii="Times New Roman" w:hAnsi="Times New Roman" w:cs="Times New Roman"/>
          <w:sz w:val="24"/>
          <w:szCs w:val="24"/>
        </w:rPr>
        <w:t xml:space="preserve"> </w:t>
      </w:r>
      <w:proofErr w:type="spellStart"/>
      <w:r w:rsidR="007A289A" w:rsidRPr="007A289A">
        <w:rPr>
          <w:rFonts w:ascii="Times New Roman" w:hAnsi="Times New Roman" w:cs="Times New Roman"/>
          <w:i/>
          <w:sz w:val="24"/>
          <w:szCs w:val="24"/>
        </w:rPr>
        <w:t>Лабынцев</w:t>
      </w:r>
      <w:proofErr w:type="spellEnd"/>
      <w:r w:rsidR="007A289A" w:rsidRPr="007A289A">
        <w:rPr>
          <w:rFonts w:ascii="Times New Roman" w:hAnsi="Times New Roman" w:cs="Times New Roman"/>
          <w:i/>
          <w:sz w:val="24"/>
          <w:szCs w:val="24"/>
        </w:rPr>
        <w:t xml:space="preserve"> Н.Т.</w:t>
      </w:r>
      <w:r w:rsidR="007A289A">
        <w:rPr>
          <w:rFonts w:ascii="Times New Roman" w:hAnsi="Times New Roman" w:cs="Times New Roman"/>
          <w:sz w:val="24"/>
          <w:szCs w:val="24"/>
        </w:rPr>
        <w:t xml:space="preserve"> Сравнительный анализ элементов финансовой отчетности, составленной по международным и российским стандартам // управленческий учет. 2010. № 7. С. 81-87; </w:t>
      </w:r>
      <w:r w:rsidR="007A289A" w:rsidRPr="007A289A">
        <w:rPr>
          <w:rFonts w:ascii="Times New Roman" w:hAnsi="Times New Roman" w:cs="Times New Roman"/>
          <w:i/>
          <w:sz w:val="24"/>
          <w:szCs w:val="24"/>
        </w:rPr>
        <w:t>Николаева С.</w:t>
      </w:r>
      <w:r w:rsidR="007A289A">
        <w:rPr>
          <w:rFonts w:ascii="Times New Roman" w:hAnsi="Times New Roman" w:cs="Times New Roman"/>
          <w:sz w:val="24"/>
          <w:szCs w:val="24"/>
        </w:rPr>
        <w:t xml:space="preserve"> Сближение учетных систем // Бухгалтерское приложение к газете «Экономика и жизнь». 2004. № 52; </w:t>
      </w:r>
      <w:r w:rsidR="007A289A" w:rsidRPr="007A289A">
        <w:rPr>
          <w:rFonts w:ascii="Times New Roman" w:hAnsi="Times New Roman" w:cs="Times New Roman"/>
          <w:i/>
          <w:sz w:val="24"/>
          <w:szCs w:val="24"/>
        </w:rPr>
        <w:t>Пономарева С.В., Климова Е.К.</w:t>
      </w:r>
      <w:r w:rsidR="007A289A">
        <w:rPr>
          <w:rFonts w:ascii="Times New Roman" w:hAnsi="Times New Roman" w:cs="Times New Roman"/>
          <w:sz w:val="24"/>
          <w:szCs w:val="24"/>
        </w:rPr>
        <w:t xml:space="preserve"> Модернизация системы бухгалтерского учета и отчетности в России на основе международных стандартов общественного сектора // Экономика и предпринимательство. 2015. № 2. С. 442-445; </w:t>
      </w:r>
      <w:r w:rsidR="007A289A" w:rsidRPr="00CD7259">
        <w:rPr>
          <w:rFonts w:ascii="Times New Roman" w:hAnsi="Times New Roman" w:cs="Times New Roman"/>
          <w:i/>
          <w:sz w:val="24"/>
          <w:szCs w:val="24"/>
        </w:rPr>
        <w:t xml:space="preserve">Ткаченко </w:t>
      </w:r>
      <w:r w:rsidR="00CD7259" w:rsidRPr="00CD7259">
        <w:rPr>
          <w:rFonts w:ascii="Times New Roman" w:hAnsi="Times New Roman" w:cs="Times New Roman"/>
          <w:i/>
          <w:sz w:val="24"/>
          <w:szCs w:val="24"/>
        </w:rPr>
        <w:t>Л.И.</w:t>
      </w:r>
      <w:r w:rsidR="00CD7259">
        <w:rPr>
          <w:rFonts w:ascii="Times New Roman" w:hAnsi="Times New Roman" w:cs="Times New Roman"/>
          <w:sz w:val="24"/>
          <w:szCs w:val="24"/>
        </w:rPr>
        <w:t xml:space="preserve"> Совершенствование бухгалтерского учета и отчетности в бюджетной сфере в соответствии с международными стандартами финансовой отчетности для общественного сектора (МСФО ОС) // Проблемы учета и финансов. 2013. № 4. С. 66-69; </w:t>
      </w:r>
      <w:r w:rsidR="00CD7259" w:rsidRPr="00CD7259">
        <w:rPr>
          <w:rFonts w:ascii="Times New Roman" w:hAnsi="Times New Roman" w:cs="Times New Roman"/>
          <w:i/>
          <w:sz w:val="24"/>
          <w:szCs w:val="24"/>
        </w:rPr>
        <w:t>Трофимова Л.Б.</w:t>
      </w:r>
      <w:r w:rsidR="00CD7259">
        <w:rPr>
          <w:rFonts w:ascii="Times New Roman" w:hAnsi="Times New Roman" w:cs="Times New Roman"/>
          <w:sz w:val="24"/>
          <w:szCs w:val="24"/>
        </w:rPr>
        <w:t xml:space="preserve"> Разработка классификации элементов финансовой отчетности организаций государственного сектора в современных условиях перехода на МСФО общественного сектора // Бухгалтерский учет в бюджетных и некоммерческих организациях. 2019. № 21.</w:t>
      </w:r>
    </w:p>
  </w:footnote>
  <w:footnote w:id="31">
    <w:p w:rsidR="00DC35D7" w:rsidRPr="00DC35D7" w:rsidRDefault="00DC35D7" w:rsidP="00DC35D7">
      <w:pPr>
        <w:pStyle w:val="a8"/>
        <w:ind w:firstLine="709"/>
        <w:jc w:val="both"/>
        <w:rPr>
          <w:rFonts w:ascii="Times New Roman" w:hAnsi="Times New Roman" w:cs="Times New Roman"/>
          <w:sz w:val="24"/>
          <w:szCs w:val="24"/>
        </w:rPr>
      </w:pPr>
      <w:r w:rsidRPr="00DC35D7">
        <w:rPr>
          <w:rStyle w:val="aa"/>
          <w:rFonts w:ascii="Times New Roman" w:hAnsi="Times New Roman" w:cs="Times New Roman"/>
          <w:sz w:val="24"/>
          <w:szCs w:val="24"/>
        </w:rPr>
        <w:footnoteRef/>
      </w:r>
      <w:r w:rsidRPr="00DC35D7">
        <w:rPr>
          <w:rFonts w:ascii="Times New Roman" w:hAnsi="Times New Roman" w:cs="Times New Roman"/>
          <w:sz w:val="24"/>
          <w:szCs w:val="24"/>
        </w:rPr>
        <w:t xml:space="preserve"> Соотношение «</w:t>
      </w:r>
      <w:r w:rsidRPr="00DC35D7">
        <w:rPr>
          <w:rFonts w:ascii="Times New Roman" w:hAnsi="Times New Roman" w:cs="Times New Roman"/>
          <w:sz w:val="24"/>
          <w:szCs w:val="24"/>
          <w:lang w:val="en-US"/>
        </w:rPr>
        <w:t>EBIT</w:t>
      </w:r>
      <w:r w:rsidRPr="00DC35D7">
        <w:rPr>
          <w:rFonts w:ascii="Times New Roman" w:hAnsi="Times New Roman" w:cs="Times New Roman"/>
          <w:sz w:val="24"/>
          <w:szCs w:val="24"/>
        </w:rPr>
        <w:t>/Процентные расходы» является показателем оценки обслуживания долга.</w:t>
      </w:r>
    </w:p>
  </w:footnote>
  <w:footnote w:id="32">
    <w:p w:rsidR="00DB6697" w:rsidRPr="001476EB" w:rsidRDefault="00DB6697" w:rsidP="00E1221A">
      <w:pPr>
        <w:pStyle w:val="a8"/>
        <w:ind w:firstLine="709"/>
        <w:jc w:val="both"/>
        <w:rPr>
          <w:rFonts w:ascii="Times New Roman" w:hAnsi="Times New Roman" w:cs="Times New Roman"/>
          <w:sz w:val="24"/>
          <w:szCs w:val="24"/>
        </w:rPr>
      </w:pPr>
      <w:r w:rsidRPr="00DB6697">
        <w:rPr>
          <w:rStyle w:val="aa"/>
          <w:rFonts w:ascii="Times New Roman" w:hAnsi="Times New Roman" w:cs="Times New Roman"/>
          <w:sz w:val="24"/>
          <w:szCs w:val="24"/>
        </w:rPr>
        <w:footnoteRef/>
      </w:r>
      <w:r w:rsidRPr="00DB6697">
        <w:rPr>
          <w:rFonts w:ascii="Times New Roman" w:hAnsi="Times New Roman" w:cs="Times New Roman"/>
          <w:sz w:val="24"/>
          <w:szCs w:val="24"/>
        </w:rPr>
        <w:t xml:space="preserve"> </w:t>
      </w:r>
      <w:r w:rsidR="00820103" w:rsidRPr="000B4F6D">
        <w:rPr>
          <w:rFonts w:ascii="Times New Roman" w:hAnsi="Times New Roman" w:cs="Times New Roman"/>
          <w:sz w:val="24"/>
          <w:szCs w:val="24"/>
        </w:rPr>
        <w:t>Методология</w:t>
      </w:r>
      <w:r w:rsidR="00820103">
        <w:rPr>
          <w:rFonts w:ascii="Times New Roman" w:hAnsi="Times New Roman" w:cs="Times New Roman"/>
          <w:sz w:val="24"/>
          <w:szCs w:val="24"/>
        </w:rPr>
        <w:t>: бизнес-</w:t>
      </w:r>
      <w:r w:rsidR="00820103" w:rsidRPr="00E1221A">
        <w:rPr>
          <w:rFonts w:ascii="Times New Roman" w:hAnsi="Times New Roman" w:cs="Times New Roman"/>
          <w:sz w:val="24"/>
          <w:szCs w:val="24"/>
        </w:rPr>
        <w:t xml:space="preserve">риски/финансовые риски: расширенная матрица. </w:t>
      </w:r>
      <w:r w:rsidR="00820103" w:rsidRPr="00E1221A">
        <w:rPr>
          <w:rFonts w:ascii="Times New Roman" w:hAnsi="Times New Roman" w:cs="Times New Roman"/>
          <w:sz w:val="24"/>
          <w:szCs w:val="24"/>
          <w:lang w:val="en-US"/>
        </w:rPr>
        <w:t>Standard</w:t>
      </w:r>
      <w:r w:rsidR="00820103" w:rsidRPr="009F46BB">
        <w:rPr>
          <w:rFonts w:ascii="Times New Roman" w:hAnsi="Times New Roman" w:cs="Times New Roman"/>
          <w:sz w:val="24"/>
          <w:szCs w:val="24"/>
          <w:lang w:val="en-US"/>
        </w:rPr>
        <w:t xml:space="preserve"> &amp;</w:t>
      </w:r>
      <w:proofErr w:type="spellStart"/>
      <w:r w:rsidR="00820103" w:rsidRPr="00E1221A">
        <w:rPr>
          <w:rFonts w:ascii="Times New Roman" w:hAnsi="Times New Roman" w:cs="Times New Roman"/>
          <w:sz w:val="24"/>
          <w:szCs w:val="24"/>
          <w:lang w:val="en-US"/>
        </w:rPr>
        <w:t>Poors</w:t>
      </w:r>
      <w:proofErr w:type="spellEnd"/>
      <w:r w:rsidR="00820103" w:rsidRPr="009F46BB">
        <w:rPr>
          <w:rFonts w:ascii="Times New Roman" w:hAnsi="Times New Roman" w:cs="Times New Roman"/>
          <w:sz w:val="24"/>
          <w:szCs w:val="24"/>
          <w:lang w:val="en-US"/>
        </w:rPr>
        <w:t>. 18.09.2012</w:t>
      </w:r>
      <w:r w:rsidR="00E1221A" w:rsidRPr="009F46BB">
        <w:rPr>
          <w:rFonts w:ascii="Times New Roman" w:hAnsi="Times New Roman" w:cs="Times New Roman"/>
          <w:sz w:val="24"/>
          <w:szCs w:val="24"/>
          <w:lang w:val="en-US"/>
        </w:rPr>
        <w:t xml:space="preserve">; </w:t>
      </w:r>
      <w:r w:rsidR="00E1221A" w:rsidRPr="00E1221A">
        <w:rPr>
          <w:rFonts w:ascii="Times New Roman" w:hAnsi="Times New Roman" w:cs="Times New Roman"/>
          <w:sz w:val="24"/>
          <w:szCs w:val="24"/>
          <w:lang w:val="en-US"/>
        </w:rPr>
        <w:t>Aerospace</w:t>
      </w:r>
      <w:r w:rsidR="00E1221A" w:rsidRPr="009F46BB">
        <w:rPr>
          <w:rFonts w:ascii="Times New Roman" w:hAnsi="Times New Roman" w:cs="Times New Roman"/>
          <w:sz w:val="24"/>
          <w:szCs w:val="24"/>
          <w:lang w:val="en-US"/>
        </w:rPr>
        <w:t xml:space="preserve"> </w:t>
      </w:r>
      <w:r w:rsidR="00E1221A" w:rsidRPr="00E1221A">
        <w:rPr>
          <w:rFonts w:ascii="Times New Roman" w:hAnsi="Times New Roman" w:cs="Times New Roman"/>
          <w:sz w:val="24"/>
          <w:szCs w:val="24"/>
          <w:lang w:val="en-US"/>
        </w:rPr>
        <w:t>and</w:t>
      </w:r>
      <w:r w:rsidR="00E1221A" w:rsidRPr="009F46BB">
        <w:rPr>
          <w:rFonts w:ascii="Times New Roman" w:hAnsi="Times New Roman" w:cs="Times New Roman"/>
          <w:sz w:val="24"/>
          <w:szCs w:val="24"/>
          <w:lang w:val="en-US"/>
        </w:rPr>
        <w:t xml:space="preserve"> </w:t>
      </w:r>
      <w:proofErr w:type="spellStart"/>
      <w:r w:rsidR="00E1221A" w:rsidRPr="00E1221A">
        <w:rPr>
          <w:rFonts w:ascii="Times New Roman" w:hAnsi="Times New Roman" w:cs="Times New Roman"/>
          <w:sz w:val="24"/>
          <w:szCs w:val="24"/>
          <w:lang w:val="en-US"/>
        </w:rPr>
        <w:t>Defence</w:t>
      </w:r>
      <w:proofErr w:type="spellEnd"/>
      <w:r w:rsidR="00E1221A" w:rsidRPr="009F46BB">
        <w:rPr>
          <w:rFonts w:ascii="Times New Roman" w:hAnsi="Times New Roman" w:cs="Times New Roman"/>
          <w:sz w:val="24"/>
          <w:szCs w:val="24"/>
          <w:lang w:val="en-US"/>
        </w:rPr>
        <w:t xml:space="preserve"> </w:t>
      </w:r>
      <w:r w:rsidR="00E1221A" w:rsidRPr="00E1221A">
        <w:rPr>
          <w:rFonts w:ascii="Times New Roman" w:hAnsi="Times New Roman" w:cs="Times New Roman"/>
          <w:sz w:val="24"/>
          <w:szCs w:val="24"/>
          <w:lang w:val="en-US"/>
        </w:rPr>
        <w:t>Methodology</w:t>
      </w:r>
      <w:r w:rsidR="00E1221A" w:rsidRPr="009F46BB">
        <w:rPr>
          <w:rFonts w:ascii="Times New Roman" w:hAnsi="Times New Roman" w:cs="Times New Roman"/>
          <w:sz w:val="24"/>
          <w:szCs w:val="24"/>
          <w:lang w:val="en-US"/>
        </w:rPr>
        <w:t xml:space="preserve">. </w:t>
      </w:r>
      <w:proofErr w:type="spellStart"/>
      <w:r w:rsidR="00E1221A" w:rsidRPr="00E1221A">
        <w:rPr>
          <w:rFonts w:ascii="Times New Roman" w:hAnsi="Times New Roman" w:cs="Times New Roman"/>
          <w:sz w:val="24"/>
          <w:szCs w:val="24"/>
          <w:lang w:val="en-US"/>
        </w:rPr>
        <w:t>Moodys</w:t>
      </w:r>
      <w:proofErr w:type="spellEnd"/>
      <w:r w:rsidR="00E1221A" w:rsidRPr="00D56320">
        <w:rPr>
          <w:rFonts w:ascii="Times New Roman" w:hAnsi="Times New Roman" w:cs="Times New Roman"/>
          <w:sz w:val="24"/>
          <w:szCs w:val="24"/>
          <w:lang w:val="en-US"/>
        </w:rPr>
        <w:t xml:space="preserve"> </w:t>
      </w:r>
      <w:r w:rsidR="00E1221A" w:rsidRPr="00E1221A">
        <w:rPr>
          <w:rFonts w:ascii="Times New Roman" w:hAnsi="Times New Roman" w:cs="Times New Roman"/>
          <w:sz w:val="24"/>
          <w:szCs w:val="24"/>
          <w:lang w:val="en-US"/>
        </w:rPr>
        <w:t>Investors</w:t>
      </w:r>
      <w:r w:rsidR="00E1221A" w:rsidRPr="00D56320">
        <w:rPr>
          <w:rFonts w:ascii="Times New Roman" w:hAnsi="Times New Roman" w:cs="Times New Roman"/>
          <w:sz w:val="24"/>
          <w:szCs w:val="24"/>
          <w:lang w:val="en-US"/>
        </w:rPr>
        <w:t xml:space="preserve"> </w:t>
      </w:r>
      <w:r w:rsidR="00E1221A" w:rsidRPr="00E1221A">
        <w:rPr>
          <w:rFonts w:ascii="Times New Roman" w:hAnsi="Times New Roman" w:cs="Times New Roman"/>
          <w:sz w:val="24"/>
          <w:szCs w:val="24"/>
          <w:lang w:val="en-US"/>
        </w:rPr>
        <w:t>Service</w:t>
      </w:r>
      <w:r w:rsidR="00E1221A" w:rsidRPr="00D56320">
        <w:rPr>
          <w:rFonts w:ascii="Times New Roman" w:hAnsi="Times New Roman" w:cs="Times New Roman"/>
          <w:sz w:val="24"/>
          <w:szCs w:val="24"/>
          <w:lang w:val="en-US"/>
        </w:rPr>
        <w:t xml:space="preserve">. 07 </w:t>
      </w:r>
      <w:r w:rsidR="00E1221A" w:rsidRPr="00E1221A">
        <w:rPr>
          <w:rFonts w:ascii="Times New Roman" w:hAnsi="Times New Roman" w:cs="Times New Roman"/>
          <w:sz w:val="24"/>
          <w:szCs w:val="24"/>
          <w:lang w:val="en-US"/>
        </w:rPr>
        <w:t>Jul</w:t>
      </w:r>
      <w:r w:rsidR="00E1221A" w:rsidRPr="00D56320">
        <w:rPr>
          <w:rFonts w:ascii="Times New Roman" w:hAnsi="Times New Roman" w:cs="Times New Roman"/>
          <w:sz w:val="24"/>
          <w:szCs w:val="24"/>
          <w:lang w:val="en-US"/>
        </w:rPr>
        <w:t>. 2020</w:t>
      </w:r>
      <w:r w:rsidR="005A7BE6" w:rsidRPr="00C23723">
        <w:rPr>
          <w:rFonts w:ascii="Times New Roman" w:hAnsi="Times New Roman" w:cs="Times New Roman"/>
          <w:sz w:val="24"/>
          <w:szCs w:val="24"/>
          <w:lang w:val="en-US"/>
        </w:rPr>
        <w:t>;</w:t>
      </w:r>
      <w:r w:rsidR="00E1221A" w:rsidRPr="00D56320">
        <w:rPr>
          <w:rFonts w:ascii="Times New Roman" w:hAnsi="Times New Roman" w:cs="Times New Roman"/>
          <w:sz w:val="24"/>
          <w:szCs w:val="24"/>
          <w:lang w:val="en-US"/>
        </w:rPr>
        <w:t xml:space="preserve"> </w:t>
      </w:r>
      <w:r w:rsidR="00E1221A" w:rsidRPr="00E1221A">
        <w:rPr>
          <w:rFonts w:ascii="Times New Roman" w:hAnsi="Times New Roman" w:cs="Times New Roman"/>
          <w:sz w:val="24"/>
          <w:szCs w:val="24"/>
          <w:lang w:val="en-US"/>
        </w:rPr>
        <w:t>Manufacturing</w:t>
      </w:r>
      <w:r w:rsidR="00E1221A" w:rsidRPr="00D56320">
        <w:rPr>
          <w:rFonts w:ascii="Times New Roman" w:hAnsi="Times New Roman" w:cs="Times New Roman"/>
          <w:sz w:val="24"/>
          <w:szCs w:val="24"/>
          <w:lang w:val="en-US"/>
        </w:rPr>
        <w:t xml:space="preserve"> </w:t>
      </w:r>
      <w:r w:rsidR="00E1221A" w:rsidRPr="00E1221A">
        <w:rPr>
          <w:rFonts w:ascii="Times New Roman" w:hAnsi="Times New Roman" w:cs="Times New Roman"/>
          <w:sz w:val="24"/>
          <w:szCs w:val="24"/>
          <w:lang w:val="en-US"/>
        </w:rPr>
        <w:t>Methodology</w:t>
      </w:r>
      <w:r w:rsidR="00E1221A" w:rsidRPr="00D56320">
        <w:rPr>
          <w:rFonts w:ascii="Times New Roman" w:hAnsi="Times New Roman" w:cs="Times New Roman"/>
          <w:sz w:val="24"/>
          <w:szCs w:val="24"/>
          <w:lang w:val="en-US"/>
        </w:rPr>
        <w:t xml:space="preserve">. </w:t>
      </w:r>
      <w:proofErr w:type="spellStart"/>
      <w:r w:rsidR="00E1221A" w:rsidRPr="00E1221A">
        <w:rPr>
          <w:rFonts w:ascii="Times New Roman" w:hAnsi="Times New Roman" w:cs="Times New Roman"/>
          <w:sz w:val="24"/>
          <w:szCs w:val="24"/>
          <w:lang w:val="en-US"/>
        </w:rPr>
        <w:t>Moodys</w:t>
      </w:r>
      <w:proofErr w:type="spellEnd"/>
      <w:r w:rsidR="00E1221A" w:rsidRPr="001476EB">
        <w:rPr>
          <w:rFonts w:ascii="Times New Roman" w:hAnsi="Times New Roman" w:cs="Times New Roman"/>
          <w:sz w:val="24"/>
          <w:szCs w:val="24"/>
        </w:rPr>
        <w:t xml:space="preserve"> </w:t>
      </w:r>
      <w:r w:rsidR="00E1221A" w:rsidRPr="00E1221A">
        <w:rPr>
          <w:rFonts w:ascii="Times New Roman" w:hAnsi="Times New Roman" w:cs="Times New Roman"/>
          <w:sz w:val="24"/>
          <w:szCs w:val="24"/>
          <w:lang w:val="en-US"/>
        </w:rPr>
        <w:t>Investors</w:t>
      </w:r>
      <w:r w:rsidR="00E1221A" w:rsidRPr="001476EB">
        <w:rPr>
          <w:rFonts w:ascii="Times New Roman" w:hAnsi="Times New Roman" w:cs="Times New Roman"/>
          <w:sz w:val="24"/>
          <w:szCs w:val="24"/>
        </w:rPr>
        <w:t xml:space="preserve"> </w:t>
      </w:r>
      <w:r w:rsidR="00E1221A" w:rsidRPr="00E1221A">
        <w:rPr>
          <w:rFonts w:ascii="Times New Roman" w:hAnsi="Times New Roman" w:cs="Times New Roman"/>
          <w:sz w:val="24"/>
          <w:szCs w:val="24"/>
          <w:lang w:val="en-US"/>
        </w:rPr>
        <w:t>Service</w:t>
      </w:r>
      <w:r w:rsidR="00E1221A" w:rsidRPr="001476EB">
        <w:rPr>
          <w:rFonts w:ascii="Times New Roman" w:hAnsi="Times New Roman" w:cs="Times New Roman"/>
          <w:sz w:val="24"/>
          <w:szCs w:val="24"/>
        </w:rPr>
        <w:t xml:space="preserve">. 3. </w:t>
      </w:r>
      <w:r w:rsidR="00E1221A" w:rsidRPr="00E1221A">
        <w:rPr>
          <w:rFonts w:ascii="Times New Roman" w:hAnsi="Times New Roman" w:cs="Times New Roman"/>
          <w:sz w:val="24"/>
          <w:szCs w:val="24"/>
          <w:lang w:val="en-US"/>
        </w:rPr>
        <w:t>March</w:t>
      </w:r>
      <w:r w:rsidR="00E1221A" w:rsidRPr="001476EB">
        <w:rPr>
          <w:rFonts w:ascii="Times New Roman" w:hAnsi="Times New Roman" w:cs="Times New Roman"/>
          <w:sz w:val="24"/>
          <w:szCs w:val="24"/>
        </w:rPr>
        <w:t xml:space="preserve"> 2020</w:t>
      </w:r>
      <w:r w:rsidR="001476EB">
        <w:rPr>
          <w:rFonts w:ascii="Times New Roman" w:hAnsi="Times New Roman" w:cs="Times New Roman"/>
          <w:sz w:val="24"/>
          <w:szCs w:val="24"/>
        </w:rPr>
        <w:t>.</w:t>
      </w:r>
      <w:r w:rsidR="00E1221A" w:rsidRPr="001476EB">
        <w:rPr>
          <w:rFonts w:ascii="Times New Roman" w:hAnsi="Times New Roman" w:cs="Times New Roman"/>
          <w:sz w:val="24"/>
          <w:szCs w:val="24"/>
        </w:rPr>
        <w:t xml:space="preserve"> </w:t>
      </w:r>
    </w:p>
  </w:footnote>
  <w:footnote w:id="33">
    <w:p w:rsidR="00934DD3" w:rsidRPr="0086075B" w:rsidRDefault="00934DD3" w:rsidP="004A2F9F">
      <w:pPr>
        <w:pStyle w:val="a8"/>
        <w:ind w:firstLine="709"/>
        <w:jc w:val="both"/>
        <w:rPr>
          <w:rFonts w:ascii="Times New Roman" w:hAnsi="Times New Roman" w:cs="Times New Roman"/>
          <w:sz w:val="24"/>
          <w:szCs w:val="24"/>
        </w:rPr>
      </w:pPr>
      <w:r w:rsidRPr="004A2F9F">
        <w:rPr>
          <w:rStyle w:val="aa"/>
          <w:rFonts w:ascii="Times New Roman" w:hAnsi="Times New Roman" w:cs="Times New Roman"/>
          <w:sz w:val="24"/>
          <w:szCs w:val="24"/>
        </w:rPr>
        <w:footnoteRef/>
      </w:r>
      <w:r w:rsidRPr="004A2F9F">
        <w:rPr>
          <w:rFonts w:ascii="Times New Roman" w:hAnsi="Times New Roman" w:cs="Times New Roman"/>
          <w:sz w:val="24"/>
          <w:szCs w:val="24"/>
        </w:rPr>
        <w:t xml:space="preserve"> По данным Банка России, структура долга нефинансового сектора на 01.04.2020 г. представлена следующим образом: 46, 11% (29 794 </w:t>
      </w:r>
      <w:proofErr w:type="spellStart"/>
      <w:proofErr w:type="gramStart"/>
      <w:r w:rsidRPr="004A2F9F">
        <w:rPr>
          <w:rFonts w:ascii="Times New Roman" w:hAnsi="Times New Roman" w:cs="Times New Roman"/>
          <w:sz w:val="24"/>
          <w:szCs w:val="24"/>
        </w:rPr>
        <w:t>млрд</w:t>
      </w:r>
      <w:proofErr w:type="spellEnd"/>
      <w:proofErr w:type="gramEnd"/>
      <w:r w:rsidRPr="004A2F9F">
        <w:rPr>
          <w:rFonts w:ascii="Times New Roman" w:hAnsi="Times New Roman" w:cs="Times New Roman"/>
          <w:sz w:val="24"/>
          <w:szCs w:val="24"/>
        </w:rPr>
        <w:t xml:space="preserve"> </w:t>
      </w:r>
      <w:proofErr w:type="spellStart"/>
      <w:r w:rsidRPr="004A2F9F">
        <w:rPr>
          <w:rFonts w:ascii="Times New Roman" w:hAnsi="Times New Roman" w:cs="Times New Roman"/>
          <w:sz w:val="24"/>
          <w:szCs w:val="24"/>
        </w:rPr>
        <w:t>руб</w:t>
      </w:r>
      <w:proofErr w:type="spellEnd"/>
      <w:r w:rsidRPr="004A2F9F">
        <w:rPr>
          <w:rFonts w:ascii="Times New Roman" w:hAnsi="Times New Roman" w:cs="Times New Roman"/>
          <w:sz w:val="24"/>
          <w:szCs w:val="24"/>
        </w:rPr>
        <w:t>) – кредиты от  резидентов (</w:t>
      </w:r>
      <w:r w:rsidR="004A2F9F" w:rsidRPr="004A2F9F">
        <w:rPr>
          <w:rFonts w:ascii="Times New Roman" w:hAnsi="Times New Roman" w:cs="Times New Roman"/>
          <w:sz w:val="24"/>
          <w:szCs w:val="24"/>
        </w:rPr>
        <w:t xml:space="preserve">в </w:t>
      </w:r>
      <w:r w:rsidRPr="004A2F9F">
        <w:rPr>
          <w:rFonts w:ascii="Times New Roman" w:hAnsi="Times New Roman" w:cs="Times New Roman"/>
          <w:sz w:val="24"/>
          <w:szCs w:val="24"/>
        </w:rPr>
        <w:t>руб</w:t>
      </w:r>
      <w:r w:rsidR="004A2F9F" w:rsidRPr="004A2F9F">
        <w:rPr>
          <w:rFonts w:ascii="Times New Roman" w:hAnsi="Times New Roman" w:cs="Times New Roman"/>
          <w:sz w:val="24"/>
          <w:szCs w:val="24"/>
        </w:rPr>
        <w:t>лях</w:t>
      </w:r>
      <w:r w:rsidRPr="004A2F9F">
        <w:rPr>
          <w:rFonts w:ascii="Times New Roman" w:hAnsi="Times New Roman" w:cs="Times New Roman"/>
          <w:sz w:val="24"/>
          <w:szCs w:val="24"/>
        </w:rPr>
        <w:t>), 26, 58% (1</w:t>
      </w:r>
      <w:r w:rsidR="004A2F9F" w:rsidRPr="004A2F9F">
        <w:rPr>
          <w:rFonts w:ascii="Times New Roman" w:hAnsi="Times New Roman" w:cs="Times New Roman"/>
          <w:sz w:val="24"/>
          <w:szCs w:val="24"/>
        </w:rPr>
        <w:t xml:space="preserve">7 174 </w:t>
      </w:r>
      <w:proofErr w:type="spellStart"/>
      <w:r w:rsidR="004A2F9F" w:rsidRPr="004A2F9F">
        <w:rPr>
          <w:rFonts w:ascii="Times New Roman" w:hAnsi="Times New Roman" w:cs="Times New Roman"/>
          <w:sz w:val="24"/>
          <w:szCs w:val="24"/>
        </w:rPr>
        <w:t>млрд</w:t>
      </w:r>
      <w:proofErr w:type="spellEnd"/>
      <w:r w:rsidR="004A2F9F" w:rsidRPr="004A2F9F">
        <w:rPr>
          <w:rFonts w:ascii="Times New Roman" w:hAnsi="Times New Roman" w:cs="Times New Roman"/>
          <w:sz w:val="24"/>
          <w:szCs w:val="24"/>
        </w:rPr>
        <w:t xml:space="preserve"> </w:t>
      </w:r>
      <w:proofErr w:type="spellStart"/>
      <w:r w:rsidR="004A2F9F" w:rsidRPr="004A2F9F">
        <w:rPr>
          <w:rFonts w:ascii="Times New Roman" w:hAnsi="Times New Roman" w:cs="Times New Roman"/>
          <w:sz w:val="24"/>
          <w:szCs w:val="24"/>
        </w:rPr>
        <w:t>руб</w:t>
      </w:r>
      <w:proofErr w:type="spellEnd"/>
      <w:r w:rsidR="004A2F9F" w:rsidRPr="004A2F9F">
        <w:rPr>
          <w:rFonts w:ascii="Times New Roman" w:hAnsi="Times New Roman" w:cs="Times New Roman"/>
          <w:sz w:val="24"/>
          <w:szCs w:val="24"/>
        </w:rPr>
        <w:t xml:space="preserve">) – кредиты и займы от нерезидентов (в иностранной валюте), 11, 28% (7 289 </w:t>
      </w:r>
      <w:proofErr w:type="spellStart"/>
      <w:r w:rsidR="004A2F9F" w:rsidRPr="004A2F9F">
        <w:rPr>
          <w:rFonts w:ascii="Times New Roman" w:hAnsi="Times New Roman" w:cs="Times New Roman"/>
          <w:sz w:val="24"/>
          <w:szCs w:val="24"/>
        </w:rPr>
        <w:t>млрд</w:t>
      </w:r>
      <w:proofErr w:type="spellEnd"/>
      <w:r w:rsidR="004A2F9F" w:rsidRPr="004A2F9F">
        <w:rPr>
          <w:rFonts w:ascii="Times New Roman" w:hAnsi="Times New Roman" w:cs="Times New Roman"/>
          <w:sz w:val="24"/>
          <w:szCs w:val="24"/>
        </w:rPr>
        <w:t xml:space="preserve"> </w:t>
      </w:r>
      <w:proofErr w:type="spellStart"/>
      <w:r w:rsidR="004A2F9F" w:rsidRPr="004A2F9F">
        <w:rPr>
          <w:rFonts w:ascii="Times New Roman" w:hAnsi="Times New Roman" w:cs="Times New Roman"/>
          <w:sz w:val="24"/>
          <w:szCs w:val="24"/>
        </w:rPr>
        <w:t>руб</w:t>
      </w:r>
      <w:proofErr w:type="spellEnd"/>
      <w:r w:rsidR="004A2F9F" w:rsidRPr="004A2F9F">
        <w:rPr>
          <w:rFonts w:ascii="Times New Roman" w:hAnsi="Times New Roman" w:cs="Times New Roman"/>
          <w:sz w:val="24"/>
          <w:szCs w:val="24"/>
        </w:rPr>
        <w:t xml:space="preserve">) – кредиты от резидентов в иностранной валюте, 10, 25% (6 625 </w:t>
      </w:r>
      <w:proofErr w:type="spellStart"/>
      <w:r w:rsidR="004A2F9F" w:rsidRPr="004A2F9F">
        <w:rPr>
          <w:rFonts w:ascii="Times New Roman" w:hAnsi="Times New Roman" w:cs="Times New Roman"/>
          <w:sz w:val="24"/>
          <w:szCs w:val="24"/>
        </w:rPr>
        <w:t>млрд</w:t>
      </w:r>
      <w:proofErr w:type="spellEnd"/>
      <w:r w:rsidR="004A2F9F" w:rsidRPr="004A2F9F">
        <w:rPr>
          <w:rFonts w:ascii="Times New Roman" w:hAnsi="Times New Roman" w:cs="Times New Roman"/>
          <w:sz w:val="24"/>
          <w:szCs w:val="24"/>
        </w:rPr>
        <w:t xml:space="preserve"> </w:t>
      </w:r>
      <w:proofErr w:type="spellStart"/>
      <w:r w:rsidR="004A2F9F" w:rsidRPr="004A2F9F">
        <w:rPr>
          <w:rFonts w:ascii="Times New Roman" w:hAnsi="Times New Roman" w:cs="Times New Roman"/>
          <w:sz w:val="24"/>
          <w:szCs w:val="24"/>
        </w:rPr>
        <w:t>руб</w:t>
      </w:r>
      <w:proofErr w:type="spellEnd"/>
      <w:r w:rsidR="004A2F9F" w:rsidRPr="004A2F9F">
        <w:rPr>
          <w:rFonts w:ascii="Times New Roman" w:hAnsi="Times New Roman" w:cs="Times New Roman"/>
          <w:sz w:val="24"/>
          <w:szCs w:val="24"/>
        </w:rPr>
        <w:t>) – долговые ценные бумаги резидентов (в рублях). Основная часть долговой нагрузки относится к кредитам в рублях. Риски, связанные с заимствованиями в иностранной валюте, относительно невелики.</w:t>
      </w:r>
      <w:r w:rsidR="004A2F9F">
        <w:rPr>
          <w:rFonts w:ascii="Times New Roman" w:hAnsi="Times New Roman" w:cs="Times New Roman"/>
          <w:sz w:val="24"/>
          <w:szCs w:val="24"/>
        </w:rPr>
        <w:t xml:space="preserve"> Отраслевой анализ кредитной задолженности свидетельствует, что кредиты больше всего востребованы в обрабатывающей промышленности, машиностроении, автомобилестроении и металлургии. См. </w:t>
      </w:r>
      <w:proofErr w:type="spellStart"/>
      <w:r w:rsidR="004A2F9F">
        <w:rPr>
          <w:rFonts w:ascii="Times New Roman" w:hAnsi="Times New Roman" w:cs="Times New Roman"/>
          <w:sz w:val="24"/>
          <w:szCs w:val="24"/>
          <w:lang w:val="en-US"/>
        </w:rPr>
        <w:t>cbr</w:t>
      </w:r>
      <w:proofErr w:type="spellEnd"/>
      <w:r w:rsidR="004A2F9F" w:rsidRPr="004A2F9F">
        <w:rPr>
          <w:rFonts w:ascii="Times New Roman" w:hAnsi="Times New Roman" w:cs="Times New Roman"/>
          <w:sz w:val="24"/>
          <w:szCs w:val="24"/>
        </w:rPr>
        <w:t>.</w:t>
      </w:r>
      <w:proofErr w:type="spellStart"/>
      <w:r w:rsidR="004A2F9F">
        <w:rPr>
          <w:rFonts w:ascii="Times New Roman" w:hAnsi="Times New Roman" w:cs="Times New Roman"/>
          <w:sz w:val="24"/>
          <w:szCs w:val="24"/>
          <w:lang w:val="en-US"/>
        </w:rPr>
        <w:t>ru</w:t>
      </w:r>
      <w:proofErr w:type="spellEnd"/>
      <w:r w:rsidR="004A2F9F" w:rsidRPr="004A2F9F">
        <w:rPr>
          <w:rFonts w:ascii="Times New Roman" w:hAnsi="Times New Roman" w:cs="Times New Roman"/>
          <w:sz w:val="24"/>
          <w:szCs w:val="24"/>
        </w:rPr>
        <w:t>/</w:t>
      </w:r>
      <w:r w:rsidR="004A2F9F">
        <w:rPr>
          <w:rFonts w:ascii="Times New Roman" w:hAnsi="Times New Roman" w:cs="Times New Roman"/>
          <w:sz w:val="24"/>
          <w:szCs w:val="24"/>
          <w:lang w:val="en-US"/>
        </w:rPr>
        <w:t>statistics</w:t>
      </w:r>
      <w:r w:rsidR="004A2F9F" w:rsidRPr="004A2F9F">
        <w:rPr>
          <w:rFonts w:ascii="Times New Roman" w:hAnsi="Times New Roman" w:cs="Times New Roman"/>
          <w:sz w:val="24"/>
          <w:szCs w:val="24"/>
        </w:rPr>
        <w:t>/</w:t>
      </w:r>
      <w:proofErr w:type="spellStart"/>
      <w:r w:rsidR="004A2F9F">
        <w:rPr>
          <w:rFonts w:ascii="Times New Roman" w:hAnsi="Times New Roman" w:cs="Times New Roman"/>
          <w:sz w:val="24"/>
          <w:szCs w:val="24"/>
          <w:lang w:val="en-US"/>
        </w:rPr>
        <w:t>dlkfs</w:t>
      </w:r>
      <w:proofErr w:type="spellEnd"/>
      <w:r w:rsidR="004A2F9F" w:rsidRPr="004A2F9F">
        <w:rPr>
          <w:rFonts w:ascii="Times New Roman" w:hAnsi="Times New Roman" w:cs="Times New Roman"/>
          <w:sz w:val="24"/>
          <w:szCs w:val="24"/>
        </w:rPr>
        <w:t>/</w:t>
      </w:r>
      <w:r w:rsidR="004A2F9F">
        <w:rPr>
          <w:rFonts w:ascii="Times New Roman" w:hAnsi="Times New Roman" w:cs="Times New Roman"/>
          <w:sz w:val="24"/>
          <w:szCs w:val="24"/>
          <w:lang w:val="en-US"/>
        </w:rPr>
        <w:t>dashboard</w:t>
      </w:r>
      <w:r w:rsidR="004A2F9F">
        <w:rPr>
          <w:rFonts w:ascii="Times New Roman" w:hAnsi="Times New Roman" w:cs="Times New Roman"/>
          <w:sz w:val="24"/>
          <w:szCs w:val="24"/>
        </w:rPr>
        <w:t xml:space="preserve">. По состоянию на конец 2019 г. в общей структуре задолженности (67,9%) лидирует задолженность поставщикам и подрядчикам. См. </w:t>
      </w:r>
      <w:proofErr w:type="spellStart"/>
      <w:r w:rsidR="004A2F9F">
        <w:rPr>
          <w:rFonts w:ascii="Times New Roman" w:hAnsi="Times New Roman" w:cs="Times New Roman"/>
          <w:sz w:val="24"/>
          <w:szCs w:val="24"/>
          <w:lang w:val="en-US"/>
        </w:rPr>
        <w:t>rosstat</w:t>
      </w:r>
      <w:proofErr w:type="spellEnd"/>
      <w:r w:rsidR="004A2F9F" w:rsidRPr="0086075B">
        <w:rPr>
          <w:rFonts w:ascii="Times New Roman" w:hAnsi="Times New Roman" w:cs="Times New Roman"/>
          <w:sz w:val="24"/>
          <w:szCs w:val="24"/>
        </w:rPr>
        <w:t>.</w:t>
      </w:r>
      <w:proofErr w:type="spellStart"/>
      <w:r w:rsidR="004A2F9F">
        <w:rPr>
          <w:rFonts w:ascii="Times New Roman" w:hAnsi="Times New Roman" w:cs="Times New Roman"/>
          <w:sz w:val="24"/>
          <w:szCs w:val="24"/>
          <w:lang w:val="en-US"/>
        </w:rPr>
        <w:t>gov</w:t>
      </w:r>
      <w:proofErr w:type="spellEnd"/>
      <w:r w:rsidR="004A2F9F" w:rsidRPr="0086075B">
        <w:rPr>
          <w:rFonts w:ascii="Times New Roman" w:hAnsi="Times New Roman" w:cs="Times New Roman"/>
          <w:sz w:val="24"/>
          <w:szCs w:val="24"/>
        </w:rPr>
        <w:t>.</w:t>
      </w:r>
      <w:proofErr w:type="spellStart"/>
      <w:r w:rsidR="004A2F9F">
        <w:rPr>
          <w:rFonts w:ascii="Times New Roman" w:hAnsi="Times New Roman" w:cs="Times New Roman"/>
          <w:sz w:val="24"/>
          <w:szCs w:val="24"/>
          <w:lang w:val="en-US"/>
        </w:rPr>
        <w:t>ru</w:t>
      </w:r>
      <w:proofErr w:type="spellEnd"/>
      <w:r w:rsidR="004A2F9F" w:rsidRPr="0086075B">
        <w:rPr>
          <w:rFonts w:ascii="Times New Roman" w:hAnsi="Times New Roman" w:cs="Times New Roman"/>
          <w:sz w:val="24"/>
          <w:szCs w:val="24"/>
        </w:rPr>
        <w:t>/</w:t>
      </w:r>
      <w:proofErr w:type="spellStart"/>
      <w:r w:rsidR="004A2F9F">
        <w:rPr>
          <w:rFonts w:ascii="Times New Roman" w:hAnsi="Times New Roman" w:cs="Times New Roman"/>
          <w:sz w:val="24"/>
          <w:szCs w:val="24"/>
          <w:lang w:val="en-US"/>
        </w:rPr>
        <w:t>storagemediabank</w:t>
      </w:r>
      <w:proofErr w:type="spellEnd"/>
      <w:r w:rsidR="004A2F9F" w:rsidRPr="0086075B">
        <w:rPr>
          <w:rFonts w:ascii="Times New Roman" w:hAnsi="Times New Roman" w:cs="Times New Roman"/>
          <w:sz w:val="24"/>
          <w:szCs w:val="24"/>
        </w:rPr>
        <w:t>/</w:t>
      </w:r>
      <w:proofErr w:type="spellStart"/>
      <w:r w:rsidR="004A2F9F">
        <w:rPr>
          <w:rFonts w:ascii="Times New Roman" w:hAnsi="Times New Roman" w:cs="Times New Roman"/>
          <w:sz w:val="24"/>
          <w:szCs w:val="24"/>
          <w:lang w:val="en-US"/>
        </w:rPr>
        <w:t>struk</w:t>
      </w:r>
      <w:proofErr w:type="spellEnd"/>
      <w:r w:rsidR="004A2F9F" w:rsidRPr="0086075B">
        <w:rPr>
          <w:rFonts w:ascii="Times New Roman" w:hAnsi="Times New Roman" w:cs="Times New Roman"/>
          <w:sz w:val="24"/>
          <w:szCs w:val="24"/>
        </w:rPr>
        <w:t>_</w:t>
      </w:r>
      <w:r w:rsidR="004A2F9F">
        <w:rPr>
          <w:rFonts w:ascii="Times New Roman" w:hAnsi="Times New Roman" w:cs="Times New Roman"/>
          <w:sz w:val="24"/>
          <w:szCs w:val="24"/>
          <w:lang w:val="en-US"/>
        </w:rPr>
        <w:t>pr</w:t>
      </w:r>
      <w:r w:rsidR="004A2F9F" w:rsidRPr="0086075B">
        <w:rPr>
          <w:rFonts w:ascii="Times New Roman" w:hAnsi="Times New Roman" w:cs="Times New Roman"/>
          <w:sz w:val="24"/>
          <w:szCs w:val="24"/>
        </w:rPr>
        <w:t>_</w:t>
      </w:r>
      <w:proofErr w:type="spellStart"/>
      <w:r w:rsidR="004A2F9F">
        <w:rPr>
          <w:rFonts w:ascii="Times New Roman" w:hAnsi="Times New Roman" w:cs="Times New Roman"/>
          <w:sz w:val="24"/>
          <w:szCs w:val="24"/>
          <w:lang w:val="en-US"/>
        </w:rPr>
        <w:t>kr</w:t>
      </w:r>
      <w:proofErr w:type="spellEnd"/>
      <w:r w:rsidR="004A2F9F" w:rsidRPr="0086075B">
        <w:rPr>
          <w:rFonts w:ascii="Times New Roman" w:hAnsi="Times New Roman" w:cs="Times New Roman"/>
          <w:sz w:val="24"/>
          <w:szCs w:val="24"/>
        </w:rPr>
        <w:t>.</w:t>
      </w:r>
      <w:proofErr w:type="spellStart"/>
      <w:r w:rsidR="004A2F9F">
        <w:rPr>
          <w:rFonts w:ascii="Times New Roman" w:hAnsi="Times New Roman" w:cs="Times New Roman"/>
          <w:sz w:val="24"/>
          <w:szCs w:val="24"/>
          <w:lang w:val="en-US"/>
        </w:rPr>
        <w:t>pdf</w:t>
      </w:r>
      <w:proofErr w:type="spellEnd"/>
    </w:p>
  </w:footnote>
  <w:footnote w:id="34">
    <w:p w:rsidR="008109E1" w:rsidRPr="008109E1" w:rsidRDefault="008109E1" w:rsidP="008109E1">
      <w:pPr>
        <w:pStyle w:val="a8"/>
        <w:ind w:firstLine="709"/>
        <w:jc w:val="both"/>
        <w:rPr>
          <w:rFonts w:ascii="Times New Roman" w:hAnsi="Times New Roman" w:cs="Times New Roman"/>
          <w:sz w:val="24"/>
          <w:szCs w:val="24"/>
          <w:lang w:val="en-US"/>
        </w:rPr>
      </w:pPr>
      <w:r w:rsidRPr="008109E1">
        <w:rPr>
          <w:rStyle w:val="aa"/>
          <w:rFonts w:ascii="Times New Roman" w:hAnsi="Times New Roman" w:cs="Times New Roman"/>
          <w:sz w:val="24"/>
          <w:szCs w:val="24"/>
        </w:rPr>
        <w:footnoteRef/>
      </w:r>
      <w:r w:rsidRPr="008109E1">
        <w:rPr>
          <w:rFonts w:ascii="Times New Roman" w:hAnsi="Times New Roman" w:cs="Times New Roman"/>
          <w:sz w:val="24"/>
          <w:szCs w:val="24"/>
        </w:rPr>
        <w:t xml:space="preserve"> Методология присвоения кредитных рейтингов нефинансовым компаниям по национальной шкале для Российской Федерации. Рейтинговое</w:t>
      </w:r>
      <w:r w:rsidRPr="004D1479">
        <w:rPr>
          <w:rFonts w:ascii="Times New Roman" w:hAnsi="Times New Roman" w:cs="Times New Roman"/>
          <w:sz w:val="24"/>
          <w:szCs w:val="24"/>
          <w:lang w:val="en-US"/>
        </w:rPr>
        <w:t xml:space="preserve"> </w:t>
      </w:r>
      <w:r w:rsidRPr="008109E1">
        <w:rPr>
          <w:rFonts w:ascii="Times New Roman" w:hAnsi="Times New Roman" w:cs="Times New Roman"/>
          <w:sz w:val="24"/>
          <w:szCs w:val="24"/>
        </w:rPr>
        <w:t>агентство</w:t>
      </w:r>
      <w:r w:rsidRPr="004D1479">
        <w:rPr>
          <w:rFonts w:ascii="Times New Roman" w:hAnsi="Times New Roman" w:cs="Times New Roman"/>
          <w:sz w:val="24"/>
          <w:szCs w:val="24"/>
          <w:lang w:val="en-US"/>
        </w:rPr>
        <w:t xml:space="preserve"> «</w:t>
      </w:r>
      <w:r w:rsidRPr="008109E1">
        <w:rPr>
          <w:rFonts w:ascii="Times New Roman" w:hAnsi="Times New Roman" w:cs="Times New Roman"/>
          <w:sz w:val="24"/>
          <w:szCs w:val="24"/>
        </w:rPr>
        <w:t>АКРА</w:t>
      </w:r>
      <w:r w:rsidRPr="004D1479">
        <w:rPr>
          <w:rFonts w:ascii="Times New Roman" w:hAnsi="Times New Roman" w:cs="Times New Roman"/>
          <w:sz w:val="24"/>
          <w:szCs w:val="24"/>
          <w:lang w:val="en-US"/>
        </w:rPr>
        <w:t xml:space="preserve">». </w:t>
      </w:r>
      <w:r w:rsidRPr="008109E1">
        <w:rPr>
          <w:rFonts w:ascii="Times New Roman" w:hAnsi="Times New Roman" w:cs="Times New Roman"/>
          <w:sz w:val="24"/>
          <w:szCs w:val="24"/>
        </w:rPr>
        <w:t>С</w:t>
      </w:r>
      <w:r w:rsidRPr="004D1479">
        <w:rPr>
          <w:rFonts w:ascii="Times New Roman" w:hAnsi="Times New Roman" w:cs="Times New Roman"/>
          <w:sz w:val="24"/>
          <w:szCs w:val="24"/>
          <w:lang w:val="en-US"/>
        </w:rPr>
        <w:t>. 29.</w:t>
      </w:r>
    </w:p>
  </w:footnote>
  <w:footnote w:id="35">
    <w:p w:rsidR="00E1221A" w:rsidRPr="00D56320" w:rsidRDefault="00E1221A" w:rsidP="00E1221A">
      <w:pPr>
        <w:pStyle w:val="a8"/>
        <w:ind w:firstLine="709"/>
        <w:jc w:val="both"/>
      </w:pPr>
      <w:r w:rsidRPr="00E1221A">
        <w:rPr>
          <w:rStyle w:val="aa"/>
          <w:rFonts w:ascii="Times New Roman" w:hAnsi="Times New Roman" w:cs="Times New Roman"/>
          <w:sz w:val="24"/>
          <w:szCs w:val="24"/>
        </w:rPr>
        <w:footnoteRef/>
      </w:r>
      <w:r w:rsidRPr="00E1221A">
        <w:rPr>
          <w:rFonts w:ascii="Times New Roman" w:hAnsi="Times New Roman" w:cs="Times New Roman"/>
          <w:sz w:val="24"/>
          <w:szCs w:val="24"/>
          <w:lang w:val="en-US"/>
        </w:rPr>
        <w:t xml:space="preserve"> Integrated Oil and Gas Methodology. </w:t>
      </w:r>
      <w:proofErr w:type="spellStart"/>
      <w:r w:rsidRPr="00E1221A">
        <w:rPr>
          <w:rFonts w:ascii="Times New Roman" w:hAnsi="Times New Roman" w:cs="Times New Roman"/>
          <w:sz w:val="24"/>
          <w:szCs w:val="24"/>
          <w:lang w:val="en-US"/>
        </w:rPr>
        <w:t>Moodys</w:t>
      </w:r>
      <w:proofErr w:type="spellEnd"/>
      <w:r w:rsidRPr="004D1479">
        <w:rPr>
          <w:rFonts w:ascii="Times New Roman" w:hAnsi="Times New Roman" w:cs="Times New Roman"/>
          <w:sz w:val="24"/>
          <w:szCs w:val="24"/>
          <w:lang w:val="en-US"/>
        </w:rPr>
        <w:t xml:space="preserve"> </w:t>
      </w:r>
      <w:r w:rsidRPr="00E1221A">
        <w:rPr>
          <w:rFonts w:ascii="Times New Roman" w:hAnsi="Times New Roman" w:cs="Times New Roman"/>
          <w:sz w:val="24"/>
          <w:szCs w:val="24"/>
          <w:lang w:val="en-US"/>
        </w:rPr>
        <w:t>Investors</w:t>
      </w:r>
      <w:r w:rsidRPr="004D1479">
        <w:rPr>
          <w:rFonts w:ascii="Times New Roman" w:hAnsi="Times New Roman" w:cs="Times New Roman"/>
          <w:sz w:val="24"/>
          <w:szCs w:val="24"/>
          <w:lang w:val="en-US"/>
        </w:rPr>
        <w:t xml:space="preserve"> </w:t>
      </w:r>
      <w:r w:rsidRPr="00E1221A">
        <w:rPr>
          <w:rFonts w:ascii="Times New Roman" w:hAnsi="Times New Roman" w:cs="Times New Roman"/>
          <w:sz w:val="24"/>
          <w:szCs w:val="24"/>
          <w:lang w:val="en-US"/>
        </w:rPr>
        <w:t>Service</w:t>
      </w:r>
      <w:r w:rsidRPr="004D1479">
        <w:rPr>
          <w:rFonts w:ascii="Times New Roman" w:hAnsi="Times New Roman" w:cs="Times New Roman"/>
          <w:sz w:val="24"/>
          <w:szCs w:val="24"/>
          <w:lang w:val="en-US"/>
        </w:rPr>
        <w:t xml:space="preserve">. </w:t>
      </w:r>
      <w:r w:rsidRPr="00E1221A">
        <w:rPr>
          <w:rFonts w:ascii="Times New Roman" w:hAnsi="Times New Roman" w:cs="Times New Roman"/>
          <w:sz w:val="24"/>
          <w:szCs w:val="24"/>
        </w:rPr>
        <w:t xml:space="preserve">23. </w:t>
      </w:r>
      <w:r w:rsidRPr="00E1221A">
        <w:rPr>
          <w:rFonts w:ascii="Times New Roman" w:hAnsi="Times New Roman" w:cs="Times New Roman"/>
          <w:sz w:val="24"/>
          <w:szCs w:val="24"/>
          <w:lang w:val="en-US"/>
        </w:rPr>
        <w:t>Sept</w:t>
      </w:r>
      <w:r w:rsidRPr="00D56320">
        <w:rPr>
          <w:rFonts w:ascii="Times New Roman" w:hAnsi="Times New Roman" w:cs="Times New Roman"/>
          <w:sz w:val="24"/>
          <w:szCs w:val="24"/>
        </w:rPr>
        <w:t xml:space="preserve"> 2019.</w:t>
      </w:r>
    </w:p>
  </w:footnote>
  <w:footnote w:id="36">
    <w:p w:rsidR="00860FDE" w:rsidRPr="00860FDE" w:rsidRDefault="00860FDE" w:rsidP="00D0378A">
      <w:pPr>
        <w:pStyle w:val="a8"/>
        <w:ind w:firstLine="709"/>
        <w:jc w:val="both"/>
        <w:rPr>
          <w:rFonts w:ascii="Times New Roman" w:hAnsi="Times New Roman" w:cs="Times New Roman"/>
          <w:sz w:val="24"/>
          <w:szCs w:val="24"/>
        </w:rPr>
      </w:pPr>
      <w:r w:rsidRPr="00860FDE">
        <w:rPr>
          <w:rStyle w:val="aa"/>
          <w:rFonts w:ascii="Times New Roman" w:hAnsi="Times New Roman" w:cs="Times New Roman"/>
          <w:sz w:val="24"/>
          <w:szCs w:val="24"/>
        </w:rPr>
        <w:footnoteRef/>
      </w:r>
      <w:r w:rsidRPr="00860FDE">
        <w:rPr>
          <w:rFonts w:ascii="Times New Roman" w:hAnsi="Times New Roman" w:cs="Times New Roman"/>
          <w:sz w:val="24"/>
          <w:szCs w:val="24"/>
        </w:rPr>
        <w:t xml:space="preserve"> Постановление Правительства Российской Федерации от 2 декабря 2017 г. № 1465 «О государственном регулировании цен на 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w:t>
      </w:r>
      <w:r w:rsidR="005A7BE6">
        <w:rPr>
          <w:rFonts w:ascii="Times New Roman" w:hAnsi="Times New Roman" w:cs="Times New Roman"/>
          <w:sz w:val="24"/>
          <w:szCs w:val="24"/>
        </w:rPr>
        <w:t>Р</w:t>
      </w:r>
      <w:r w:rsidRPr="00860FDE">
        <w:rPr>
          <w:rFonts w:ascii="Times New Roman" w:hAnsi="Times New Roman" w:cs="Times New Roman"/>
          <w:sz w:val="24"/>
          <w:szCs w:val="24"/>
        </w:rPr>
        <w:t>оссийской Федерации».</w:t>
      </w:r>
    </w:p>
  </w:footnote>
  <w:footnote w:id="37">
    <w:p w:rsidR="00C75E34" w:rsidRDefault="00C75E34" w:rsidP="00B91BA1">
      <w:pPr>
        <w:pStyle w:val="a8"/>
        <w:ind w:firstLine="709"/>
        <w:jc w:val="both"/>
      </w:pPr>
      <w:r w:rsidRPr="00C75E34">
        <w:rPr>
          <w:rStyle w:val="aa"/>
          <w:rFonts w:ascii="Times New Roman" w:hAnsi="Times New Roman" w:cs="Times New Roman"/>
          <w:sz w:val="24"/>
          <w:szCs w:val="24"/>
        </w:rPr>
        <w:footnoteRef/>
      </w:r>
      <w:r w:rsidRPr="00C75E34">
        <w:rPr>
          <w:rFonts w:ascii="Times New Roman" w:hAnsi="Times New Roman" w:cs="Times New Roman"/>
          <w:sz w:val="24"/>
          <w:szCs w:val="24"/>
        </w:rPr>
        <w:t xml:space="preserve"> Методология присвоения корпоративных рейтингов. </w:t>
      </w:r>
      <w:r w:rsidRPr="00C75E34">
        <w:rPr>
          <w:rFonts w:ascii="Times New Roman" w:hAnsi="Times New Roman" w:cs="Times New Roman"/>
          <w:sz w:val="24"/>
          <w:szCs w:val="24"/>
          <w:lang w:val="en-US"/>
        </w:rPr>
        <w:t>Standard</w:t>
      </w:r>
      <w:r w:rsidRPr="00C75E34">
        <w:rPr>
          <w:rFonts w:ascii="Times New Roman" w:hAnsi="Times New Roman" w:cs="Times New Roman"/>
          <w:sz w:val="24"/>
          <w:szCs w:val="24"/>
        </w:rPr>
        <w:t xml:space="preserve"> &amp;</w:t>
      </w:r>
      <w:proofErr w:type="spellStart"/>
      <w:r w:rsidRPr="00C75E34">
        <w:rPr>
          <w:rFonts w:ascii="Times New Roman" w:hAnsi="Times New Roman" w:cs="Times New Roman"/>
          <w:sz w:val="24"/>
          <w:szCs w:val="24"/>
          <w:lang w:val="en-US"/>
        </w:rPr>
        <w:t>Poors</w:t>
      </w:r>
      <w:proofErr w:type="spellEnd"/>
      <w:r w:rsidRPr="00C75E34">
        <w:rPr>
          <w:rFonts w:ascii="Times New Roman" w:hAnsi="Times New Roman" w:cs="Times New Roman"/>
          <w:sz w:val="24"/>
          <w:szCs w:val="24"/>
        </w:rPr>
        <w:t xml:space="preserve">. 01.07.2019. </w:t>
      </w:r>
    </w:p>
  </w:footnote>
  <w:footnote w:id="38">
    <w:p w:rsidR="008B2B52" w:rsidRPr="006A3E1E" w:rsidRDefault="008B2B52" w:rsidP="008B2B52">
      <w:pPr>
        <w:pStyle w:val="a8"/>
        <w:ind w:firstLine="709"/>
        <w:jc w:val="both"/>
        <w:rPr>
          <w:rFonts w:ascii="Times New Roman" w:hAnsi="Times New Roman" w:cs="Times New Roman"/>
          <w:sz w:val="24"/>
          <w:szCs w:val="24"/>
        </w:rPr>
      </w:pPr>
      <w:r w:rsidRPr="008B2B52">
        <w:rPr>
          <w:rStyle w:val="aa"/>
          <w:rFonts w:ascii="Times New Roman" w:hAnsi="Times New Roman" w:cs="Times New Roman"/>
          <w:sz w:val="24"/>
          <w:szCs w:val="24"/>
        </w:rPr>
        <w:footnoteRef/>
      </w:r>
      <w:r w:rsidRPr="008B2B52">
        <w:rPr>
          <w:rFonts w:ascii="Times New Roman" w:hAnsi="Times New Roman" w:cs="Times New Roman"/>
          <w:sz w:val="24"/>
          <w:szCs w:val="24"/>
        </w:rPr>
        <w:t xml:space="preserve"> Для организаций ОПК необходимо учитывать государственное регулирование </w:t>
      </w:r>
      <w:r w:rsidRPr="006A3E1E">
        <w:rPr>
          <w:rFonts w:ascii="Times New Roman" w:hAnsi="Times New Roman" w:cs="Times New Roman"/>
          <w:sz w:val="24"/>
          <w:szCs w:val="24"/>
        </w:rPr>
        <w:t xml:space="preserve">ценообразования по ГОЗ. </w:t>
      </w:r>
    </w:p>
  </w:footnote>
  <w:footnote w:id="39">
    <w:p w:rsidR="003A4D43" w:rsidRPr="006A3E1E" w:rsidRDefault="003A4D43" w:rsidP="006C255B">
      <w:pPr>
        <w:pStyle w:val="a8"/>
        <w:ind w:firstLine="709"/>
        <w:jc w:val="both"/>
        <w:rPr>
          <w:rFonts w:ascii="Times New Roman" w:hAnsi="Times New Roman" w:cs="Times New Roman"/>
          <w:sz w:val="24"/>
          <w:szCs w:val="24"/>
        </w:rPr>
      </w:pPr>
      <w:r w:rsidRPr="006A3E1E">
        <w:rPr>
          <w:rStyle w:val="aa"/>
          <w:rFonts w:ascii="Times New Roman" w:hAnsi="Times New Roman" w:cs="Times New Roman"/>
          <w:sz w:val="24"/>
          <w:szCs w:val="24"/>
        </w:rPr>
        <w:footnoteRef/>
      </w:r>
      <w:r w:rsidRPr="006A3E1E">
        <w:rPr>
          <w:rFonts w:ascii="Times New Roman" w:hAnsi="Times New Roman" w:cs="Times New Roman"/>
          <w:sz w:val="24"/>
          <w:szCs w:val="24"/>
        </w:rPr>
        <w:t xml:space="preserve"> Методология присвоения рейтингов кредитоспособности нефинансовым организациям (утверждена на заседании методологического комитета № 256 от 24.08.2020). Рейтинговое агентство «Эксперт РА». С. 15.</w:t>
      </w:r>
    </w:p>
  </w:footnote>
  <w:footnote w:id="40">
    <w:p w:rsidR="006A3E1E" w:rsidRDefault="006A3E1E" w:rsidP="006C255B">
      <w:pPr>
        <w:pStyle w:val="a8"/>
        <w:ind w:firstLine="709"/>
        <w:jc w:val="both"/>
      </w:pPr>
      <w:r w:rsidRPr="006A3E1E">
        <w:rPr>
          <w:rStyle w:val="aa"/>
          <w:rFonts w:ascii="Times New Roman" w:hAnsi="Times New Roman" w:cs="Times New Roman"/>
          <w:sz w:val="24"/>
          <w:szCs w:val="24"/>
        </w:rPr>
        <w:footnoteRef/>
      </w:r>
      <w:r>
        <w:t xml:space="preserve"> </w:t>
      </w:r>
      <w:r w:rsidRPr="006B63E1">
        <w:rPr>
          <w:rFonts w:ascii="Times New Roman" w:hAnsi="Times New Roman" w:cs="Times New Roman"/>
          <w:sz w:val="24"/>
          <w:szCs w:val="24"/>
        </w:rPr>
        <w:t>Методологи</w:t>
      </w:r>
      <w:r>
        <w:rPr>
          <w:rFonts w:ascii="Times New Roman" w:hAnsi="Times New Roman" w:cs="Times New Roman"/>
          <w:sz w:val="24"/>
          <w:szCs w:val="24"/>
        </w:rPr>
        <w:t>я</w:t>
      </w:r>
      <w:r w:rsidRPr="006B63E1">
        <w:rPr>
          <w:rFonts w:ascii="Times New Roman" w:hAnsi="Times New Roman" w:cs="Times New Roman"/>
          <w:sz w:val="24"/>
          <w:szCs w:val="24"/>
        </w:rPr>
        <w:t xml:space="preserve"> присвоения кредитных рейтингов нефинансовым компаниям по национальной шкале для Российской Федерации</w:t>
      </w:r>
      <w:r>
        <w:rPr>
          <w:rFonts w:ascii="Times New Roman" w:hAnsi="Times New Roman" w:cs="Times New Roman"/>
          <w:sz w:val="24"/>
          <w:szCs w:val="24"/>
        </w:rPr>
        <w:t>. Р</w:t>
      </w:r>
      <w:r w:rsidRPr="006B63E1">
        <w:rPr>
          <w:rFonts w:ascii="Times New Roman" w:hAnsi="Times New Roman" w:cs="Times New Roman"/>
          <w:sz w:val="24"/>
          <w:szCs w:val="24"/>
        </w:rPr>
        <w:t>ейтингово</w:t>
      </w:r>
      <w:r>
        <w:rPr>
          <w:rFonts w:ascii="Times New Roman" w:hAnsi="Times New Roman" w:cs="Times New Roman"/>
          <w:sz w:val="24"/>
          <w:szCs w:val="24"/>
        </w:rPr>
        <w:t>е</w:t>
      </w:r>
      <w:r w:rsidRPr="006B63E1">
        <w:rPr>
          <w:rFonts w:ascii="Times New Roman" w:hAnsi="Times New Roman" w:cs="Times New Roman"/>
          <w:sz w:val="24"/>
          <w:szCs w:val="24"/>
        </w:rPr>
        <w:t xml:space="preserve"> агентств</w:t>
      </w:r>
      <w:r>
        <w:rPr>
          <w:rFonts w:ascii="Times New Roman" w:hAnsi="Times New Roman" w:cs="Times New Roman"/>
          <w:sz w:val="24"/>
          <w:szCs w:val="24"/>
        </w:rPr>
        <w:t>о</w:t>
      </w:r>
      <w:r w:rsidRPr="006B63E1">
        <w:rPr>
          <w:rFonts w:ascii="Times New Roman" w:hAnsi="Times New Roman" w:cs="Times New Roman"/>
          <w:sz w:val="24"/>
          <w:szCs w:val="24"/>
        </w:rPr>
        <w:t xml:space="preserve"> «АКРА»</w:t>
      </w:r>
      <w:r>
        <w:rPr>
          <w:rFonts w:ascii="Times New Roman" w:hAnsi="Times New Roman" w:cs="Times New Roman"/>
          <w:sz w:val="24"/>
          <w:szCs w:val="24"/>
        </w:rPr>
        <w:t>. С. 15, 17.</w:t>
      </w:r>
    </w:p>
  </w:footnote>
  <w:footnote w:id="41">
    <w:p w:rsidR="006B63E1" w:rsidRPr="006B63E1" w:rsidRDefault="006B63E1" w:rsidP="006B63E1">
      <w:pPr>
        <w:pStyle w:val="a8"/>
        <w:ind w:firstLine="709"/>
        <w:jc w:val="both"/>
        <w:rPr>
          <w:rFonts w:ascii="Times New Roman" w:hAnsi="Times New Roman" w:cs="Times New Roman"/>
          <w:sz w:val="24"/>
          <w:szCs w:val="24"/>
        </w:rPr>
      </w:pPr>
      <w:r w:rsidRPr="006B63E1">
        <w:rPr>
          <w:rStyle w:val="aa"/>
          <w:rFonts w:ascii="Times New Roman" w:hAnsi="Times New Roman" w:cs="Times New Roman"/>
          <w:sz w:val="24"/>
          <w:szCs w:val="24"/>
        </w:rPr>
        <w:footnoteRef/>
      </w:r>
      <w:r w:rsidRPr="006B63E1">
        <w:rPr>
          <w:rFonts w:ascii="Times New Roman" w:hAnsi="Times New Roman" w:cs="Times New Roman"/>
          <w:sz w:val="24"/>
          <w:szCs w:val="24"/>
        </w:rPr>
        <w:t xml:space="preserve"> Оценка качественных факторов рейтингового анализа в разрезе отраслей (отраслевые риск-профили) даны в Методологии присвоения рейтингов кредитоспособности нефинансовым компаниям рейтингового агентства «Эксперт РА» (с. 18-30) и в Методологии присвоения кредитных рейтингов нефинансовым компаниям по национальной шкале для Российской Федерации рейтингового агентства «АКРА» (с. 57-73).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913924"/>
      <w:docPartObj>
        <w:docPartGallery w:val="Page Numbers (Top of Page)"/>
        <w:docPartUnique/>
      </w:docPartObj>
    </w:sdtPr>
    <w:sdtContent>
      <w:p w:rsidR="00504115" w:rsidRDefault="0011642F">
        <w:pPr>
          <w:pStyle w:val="a4"/>
          <w:jc w:val="center"/>
        </w:pPr>
        <w:r>
          <w:fldChar w:fldCharType="begin"/>
        </w:r>
        <w:r w:rsidR="00504115">
          <w:instrText>PAGE   \* MERGEFORMAT</w:instrText>
        </w:r>
        <w:r>
          <w:fldChar w:fldCharType="separate"/>
        </w:r>
        <w:r w:rsidR="00A83C49">
          <w:rPr>
            <w:noProof/>
          </w:rPr>
          <w:t>20</w:t>
        </w:r>
        <w:r>
          <w:fldChar w:fldCharType="end"/>
        </w:r>
      </w:p>
    </w:sdtContent>
  </w:sdt>
  <w:p w:rsidR="00504115" w:rsidRDefault="0050411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D51A6"/>
    <w:multiLevelType w:val="hybridMultilevel"/>
    <w:tmpl w:val="580C5B64"/>
    <w:lvl w:ilvl="0" w:tplc="E4CE6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BA6E93"/>
    <w:multiLevelType w:val="hybridMultilevel"/>
    <w:tmpl w:val="B3020638"/>
    <w:lvl w:ilvl="0" w:tplc="CCB4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504115"/>
    <w:rsid w:val="000034CB"/>
    <w:rsid w:val="00020888"/>
    <w:rsid w:val="00025361"/>
    <w:rsid w:val="00031912"/>
    <w:rsid w:val="000342DB"/>
    <w:rsid w:val="0004400D"/>
    <w:rsid w:val="00045F53"/>
    <w:rsid w:val="0005063C"/>
    <w:rsid w:val="00051ECC"/>
    <w:rsid w:val="00061CBC"/>
    <w:rsid w:val="00071380"/>
    <w:rsid w:val="0007279A"/>
    <w:rsid w:val="0007608D"/>
    <w:rsid w:val="00083B51"/>
    <w:rsid w:val="00087C61"/>
    <w:rsid w:val="000A2FEC"/>
    <w:rsid w:val="000A48F3"/>
    <w:rsid w:val="000A49FE"/>
    <w:rsid w:val="000A4FAE"/>
    <w:rsid w:val="000A727F"/>
    <w:rsid w:val="000B3160"/>
    <w:rsid w:val="000B4D5F"/>
    <w:rsid w:val="000B4F6D"/>
    <w:rsid w:val="000B6063"/>
    <w:rsid w:val="000B7B30"/>
    <w:rsid w:val="000B7DBA"/>
    <w:rsid w:val="000C0BDB"/>
    <w:rsid w:val="000C3D0E"/>
    <w:rsid w:val="000D0023"/>
    <w:rsid w:val="000D7C78"/>
    <w:rsid w:val="000E71A4"/>
    <w:rsid w:val="000F07FE"/>
    <w:rsid w:val="00107A80"/>
    <w:rsid w:val="00110179"/>
    <w:rsid w:val="0011642F"/>
    <w:rsid w:val="0011769A"/>
    <w:rsid w:val="0012148B"/>
    <w:rsid w:val="00124F96"/>
    <w:rsid w:val="001304F1"/>
    <w:rsid w:val="001318F8"/>
    <w:rsid w:val="00144FB3"/>
    <w:rsid w:val="001476EB"/>
    <w:rsid w:val="00151F53"/>
    <w:rsid w:val="001558FC"/>
    <w:rsid w:val="001616AD"/>
    <w:rsid w:val="001626F2"/>
    <w:rsid w:val="001637D8"/>
    <w:rsid w:val="00173396"/>
    <w:rsid w:val="00176D13"/>
    <w:rsid w:val="00177718"/>
    <w:rsid w:val="001A2573"/>
    <w:rsid w:val="001A343D"/>
    <w:rsid w:val="001A3CF0"/>
    <w:rsid w:val="001A6DD9"/>
    <w:rsid w:val="001B03EB"/>
    <w:rsid w:val="001B3945"/>
    <w:rsid w:val="001C04F4"/>
    <w:rsid w:val="001C78C4"/>
    <w:rsid w:val="001D47BB"/>
    <w:rsid w:val="001D730E"/>
    <w:rsid w:val="001D7F81"/>
    <w:rsid w:val="001E3F2F"/>
    <w:rsid w:val="001F2DB4"/>
    <w:rsid w:val="001F2F69"/>
    <w:rsid w:val="00202C37"/>
    <w:rsid w:val="00202C76"/>
    <w:rsid w:val="00204079"/>
    <w:rsid w:val="00210DF4"/>
    <w:rsid w:val="002155E4"/>
    <w:rsid w:val="00223534"/>
    <w:rsid w:val="0022470E"/>
    <w:rsid w:val="00226040"/>
    <w:rsid w:val="00236FD0"/>
    <w:rsid w:val="00237587"/>
    <w:rsid w:val="002456FF"/>
    <w:rsid w:val="00250522"/>
    <w:rsid w:val="00253B2F"/>
    <w:rsid w:val="00254ED5"/>
    <w:rsid w:val="00260F21"/>
    <w:rsid w:val="00264889"/>
    <w:rsid w:val="0026639B"/>
    <w:rsid w:val="00273A46"/>
    <w:rsid w:val="00275021"/>
    <w:rsid w:val="00277C78"/>
    <w:rsid w:val="00281670"/>
    <w:rsid w:val="0028507F"/>
    <w:rsid w:val="002853EA"/>
    <w:rsid w:val="002910DB"/>
    <w:rsid w:val="00295ECD"/>
    <w:rsid w:val="00297171"/>
    <w:rsid w:val="002A2519"/>
    <w:rsid w:val="002A52E3"/>
    <w:rsid w:val="002A6574"/>
    <w:rsid w:val="002B5849"/>
    <w:rsid w:val="002B77D5"/>
    <w:rsid w:val="002C045A"/>
    <w:rsid w:val="002C56B6"/>
    <w:rsid w:val="002C5AA7"/>
    <w:rsid w:val="002C6A60"/>
    <w:rsid w:val="002E1E93"/>
    <w:rsid w:val="002E40E8"/>
    <w:rsid w:val="002E4CBD"/>
    <w:rsid w:val="002E69E8"/>
    <w:rsid w:val="002E6D2E"/>
    <w:rsid w:val="00300BEC"/>
    <w:rsid w:val="003028AF"/>
    <w:rsid w:val="00304928"/>
    <w:rsid w:val="00304E52"/>
    <w:rsid w:val="0030588A"/>
    <w:rsid w:val="003133ED"/>
    <w:rsid w:val="00322E6D"/>
    <w:rsid w:val="003244AA"/>
    <w:rsid w:val="00325EA0"/>
    <w:rsid w:val="00326253"/>
    <w:rsid w:val="003268A5"/>
    <w:rsid w:val="003325E9"/>
    <w:rsid w:val="0033719C"/>
    <w:rsid w:val="0033770D"/>
    <w:rsid w:val="00344017"/>
    <w:rsid w:val="00344711"/>
    <w:rsid w:val="0034494C"/>
    <w:rsid w:val="003464FE"/>
    <w:rsid w:val="00347CF5"/>
    <w:rsid w:val="003513FA"/>
    <w:rsid w:val="003628B3"/>
    <w:rsid w:val="00363083"/>
    <w:rsid w:val="00363F6A"/>
    <w:rsid w:val="0036565A"/>
    <w:rsid w:val="003675C1"/>
    <w:rsid w:val="00383389"/>
    <w:rsid w:val="003929BA"/>
    <w:rsid w:val="00393465"/>
    <w:rsid w:val="0039508B"/>
    <w:rsid w:val="003A3454"/>
    <w:rsid w:val="003A4D43"/>
    <w:rsid w:val="003B121E"/>
    <w:rsid w:val="003C10C5"/>
    <w:rsid w:val="003D3013"/>
    <w:rsid w:val="003D6AEA"/>
    <w:rsid w:val="003E37D5"/>
    <w:rsid w:val="003E7FF0"/>
    <w:rsid w:val="003F3315"/>
    <w:rsid w:val="003F3C91"/>
    <w:rsid w:val="003F4DFF"/>
    <w:rsid w:val="00403E2C"/>
    <w:rsid w:val="004116B0"/>
    <w:rsid w:val="004117CE"/>
    <w:rsid w:val="004141A7"/>
    <w:rsid w:val="004150A7"/>
    <w:rsid w:val="004337D4"/>
    <w:rsid w:val="00452DC4"/>
    <w:rsid w:val="00453B4B"/>
    <w:rsid w:val="00457A77"/>
    <w:rsid w:val="00460709"/>
    <w:rsid w:val="00463768"/>
    <w:rsid w:val="00467551"/>
    <w:rsid w:val="0047130A"/>
    <w:rsid w:val="00473EA2"/>
    <w:rsid w:val="00475EC6"/>
    <w:rsid w:val="00481AC5"/>
    <w:rsid w:val="00483D35"/>
    <w:rsid w:val="00484E7C"/>
    <w:rsid w:val="00485F01"/>
    <w:rsid w:val="00491E8B"/>
    <w:rsid w:val="0049414E"/>
    <w:rsid w:val="00494A1B"/>
    <w:rsid w:val="00495B9B"/>
    <w:rsid w:val="004963CC"/>
    <w:rsid w:val="004A2F9F"/>
    <w:rsid w:val="004A5D52"/>
    <w:rsid w:val="004B063A"/>
    <w:rsid w:val="004B77E1"/>
    <w:rsid w:val="004B7860"/>
    <w:rsid w:val="004C1C8A"/>
    <w:rsid w:val="004D1479"/>
    <w:rsid w:val="004D6986"/>
    <w:rsid w:val="004E6267"/>
    <w:rsid w:val="004F2ADC"/>
    <w:rsid w:val="00504115"/>
    <w:rsid w:val="005046FF"/>
    <w:rsid w:val="005063DB"/>
    <w:rsid w:val="0050740F"/>
    <w:rsid w:val="00507D94"/>
    <w:rsid w:val="005173C7"/>
    <w:rsid w:val="00520B89"/>
    <w:rsid w:val="0054054B"/>
    <w:rsid w:val="00540C1E"/>
    <w:rsid w:val="0054114D"/>
    <w:rsid w:val="005425BC"/>
    <w:rsid w:val="0054687F"/>
    <w:rsid w:val="00547B03"/>
    <w:rsid w:val="0055058B"/>
    <w:rsid w:val="00551A26"/>
    <w:rsid w:val="0055361E"/>
    <w:rsid w:val="00553721"/>
    <w:rsid w:val="00560362"/>
    <w:rsid w:val="00563FAB"/>
    <w:rsid w:val="005767EA"/>
    <w:rsid w:val="005A6625"/>
    <w:rsid w:val="005A7BE6"/>
    <w:rsid w:val="005C513B"/>
    <w:rsid w:val="005E105E"/>
    <w:rsid w:val="005E174C"/>
    <w:rsid w:val="005F632F"/>
    <w:rsid w:val="005F6836"/>
    <w:rsid w:val="00601149"/>
    <w:rsid w:val="00602F74"/>
    <w:rsid w:val="00606A54"/>
    <w:rsid w:val="00607AF0"/>
    <w:rsid w:val="00617ED9"/>
    <w:rsid w:val="00617F72"/>
    <w:rsid w:val="00621065"/>
    <w:rsid w:val="00623EAA"/>
    <w:rsid w:val="00627F60"/>
    <w:rsid w:val="00635657"/>
    <w:rsid w:val="0064112D"/>
    <w:rsid w:val="00643F3E"/>
    <w:rsid w:val="00646349"/>
    <w:rsid w:val="006521A5"/>
    <w:rsid w:val="006542DC"/>
    <w:rsid w:val="0065484F"/>
    <w:rsid w:val="0065619E"/>
    <w:rsid w:val="006660DF"/>
    <w:rsid w:val="00671CAF"/>
    <w:rsid w:val="00676EA5"/>
    <w:rsid w:val="006A14C2"/>
    <w:rsid w:val="006A3E1E"/>
    <w:rsid w:val="006A6A99"/>
    <w:rsid w:val="006B63E1"/>
    <w:rsid w:val="006B74D3"/>
    <w:rsid w:val="006C1CB6"/>
    <w:rsid w:val="006C255B"/>
    <w:rsid w:val="006C5319"/>
    <w:rsid w:val="006C563D"/>
    <w:rsid w:val="006C5AFA"/>
    <w:rsid w:val="006D0D50"/>
    <w:rsid w:val="006D64ED"/>
    <w:rsid w:val="006E1B1C"/>
    <w:rsid w:val="006E2081"/>
    <w:rsid w:val="006E6C40"/>
    <w:rsid w:val="006F0C94"/>
    <w:rsid w:val="006F3A98"/>
    <w:rsid w:val="006F549E"/>
    <w:rsid w:val="007031D9"/>
    <w:rsid w:val="00714513"/>
    <w:rsid w:val="007155B6"/>
    <w:rsid w:val="00716266"/>
    <w:rsid w:val="007209FB"/>
    <w:rsid w:val="00721512"/>
    <w:rsid w:val="00723935"/>
    <w:rsid w:val="00730537"/>
    <w:rsid w:val="00740D06"/>
    <w:rsid w:val="00750606"/>
    <w:rsid w:val="00752F26"/>
    <w:rsid w:val="007531D5"/>
    <w:rsid w:val="00754687"/>
    <w:rsid w:val="007558DA"/>
    <w:rsid w:val="00755D7D"/>
    <w:rsid w:val="00756AF6"/>
    <w:rsid w:val="00760DA1"/>
    <w:rsid w:val="00773B37"/>
    <w:rsid w:val="00776AE0"/>
    <w:rsid w:val="00780F5E"/>
    <w:rsid w:val="00783DE3"/>
    <w:rsid w:val="00796B6E"/>
    <w:rsid w:val="007A09D0"/>
    <w:rsid w:val="007A289A"/>
    <w:rsid w:val="007A4DAD"/>
    <w:rsid w:val="007A5EB3"/>
    <w:rsid w:val="007B6D42"/>
    <w:rsid w:val="007D6384"/>
    <w:rsid w:val="007E6493"/>
    <w:rsid w:val="007E65A9"/>
    <w:rsid w:val="007F0F5D"/>
    <w:rsid w:val="007F385F"/>
    <w:rsid w:val="007F4412"/>
    <w:rsid w:val="00800126"/>
    <w:rsid w:val="008001B0"/>
    <w:rsid w:val="00800EFA"/>
    <w:rsid w:val="00801A37"/>
    <w:rsid w:val="00806268"/>
    <w:rsid w:val="00810565"/>
    <w:rsid w:val="008109E1"/>
    <w:rsid w:val="00811663"/>
    <w:rsid w:val="00815F59"/>
    <w:rsid w:val="00820103"/>
    <w:rsid w:val="00820E96"/>
    <w:rsid w:val="00825637"/>
    <w:rsid w:val="00827DBD"/>
    <w:rsid w:val="008336D6"/>
    <w:rsid w:val="00835E9B"/>
    <w:rsid w:val="008407D9"/>
    <w:rsid w:val="00843E0D"/>
    <w:rsid w:val="00850516"/>
    <w:rsid w:val="00853A91"/>
    <w:rsid w:val="0086075B"/>
    <w:rsid w:val="00860FDE"/>
    <w:rsid w:val="008703B3"/>
    <w:rsid w:val="00871946"/>
    <w:rsid w:val="00872DA3"/>
    <w:rsid w:val="00873732"/>
    <w:rsid w:val="00877418"/>
    <w:rsid w:val="00882457"/>
    <w:rsid w:val="00882E16"/>
    <w:rsid w:val="00885E8D"/>
    <w:rsid w:val="008909F4"/>
    <w:rsid w:val="00894C06"/>
    <w:rsid w:val="008A313C"/>
    <w:rsid w:val="008A6F4F"/>
    <w:rsid w:val="008B1BEE"/>
    <w:rsid w:val="008B2B52"/>
    <w:rsid w:val="008B470D"/>
    <w:rsid w:val="008B53B5"/>
    <w:rsid w:val="008C78BD"/>
    <w:rsid w:val="008D542C"/>
    <w:rsid w:val="008E2E1F"/>
    <w:rsid w:val="008E787A"/>
    <w:rsid w:val="008F1F94"/>
    <w:rsid w:val="008F3844"/>
    <w:rsid w:val="008F6566"/>
    <w:rsid w:val="009076E1"/>
    <w:rsid w:val="00912CA3"/>
    <w:rsid w:val="00931329"/>
    <w:rsid w:val="00934DD3"/>
    <w:rsid w:val="00950FE5"/>
    <w:rsid w:val="009615CC"/>
    <w:rsid w:val="00963E26"/>
    <w:rsid w:val="00973DA3"/>
    <w:rsid w:val="00986C13"/>
    <w:rsid w:val="00987908"/>
    <w:rsid w:val="00987E03"/>
    <w:rsid w:val="009919CE"/>
    <w:rsid w:val="009952A3"/>
    <w:rsid w:val="009B26C8"/>
    <w:rsid w:val="009B3868"/>
    <w:rsid w:val="009B503D"/>
    <w:rsid w:val="009B5061"/>
    <w:rsid w:val="009B6949"/>
    <w:rsid w:val="009C04A5"/>
    <w:rsid w:val="009C23E1"/>
    <w:rsid w:val="009C2C96"/>
    <w:rsid w:val="009C5674"/>
    <w:rsid w:val="009D252C"/>
    <w:rsid w:val="009D3F02"/>
    <w:rsid w:val="009D7E1C"/>
    <w:rsid w:val="009E0B92"/>
    <w:rsid w:val="009F0581"/>
    <w:rsid w:val="009F1B04"/>
    <w:rsid w:val="009F46BB"/>
    <w:rsid w:val="009F585E"/>
    <w:rsid w:val="00A04340"/>
    <w:rsid w:val="00A263FC"/>
    <w:rsid w:val="00A318F7"/>
    <w:rsid w:val="00A32B35"/>
    <w:rsid w:val="00A32D2F"/>
    <w:rsid w:val="00A42A44"/>
    <w:rsid w:val="00A52F4B"/>
    <w:rsid w:val="00A600B3"/>
    <w:rsid w:val="00A64275"/>
    <w:rsid w:val="00A72211"/>
    <w:rsid w:val="00A765F5"/>
    <w:rsid w:val="00A77059"/>
    <w:rsid w:val="00A82F36"/>
    <w:rsid w:val="00A83C49"/>
    <w:rsid w:val="00A83EA8"/>
    <w:rsid w:val="00A847C3"/>
    <w:rsid w:val="00A84876"/>
    <w:rsid w:val="00A930D6"/>
    <w:rsid w:val="00AA231C"/>
    <w:rsid w:val="00AA43AE"/>
    <w:rsid w:val="00AA4ADF"/>
    <w:rsid w:val="00AB01AC"/>
    <w:rsid w:val="00AB05F3"/>
    <w:rsid w:val="00AB0BA5"/>
    <w:rsid w:val="00AB3533"/>
    <w:rsid w:val="00AB3F59"/>
    <w:rsid w:val="00AB7B96"/>
    <w:rsid w:val="00AC31E1"/>
    <w:rsid w:val="00AC4321"/>
    <w:rsid w:val="00AC7D56"/>
    <w:rsid w:val="00AC7F10"/>
    <w:rsid w:val="00AD0B18"/>
    <w:rsid w:val="00AD0D9E"/>
    <w:rsid w:val="00AD2C69"/>
    <w:rsid w:val="00AE025E"/>
    <w:rsid w:val="00AE42DD"/>
    <w:rsid w:val="00AE6A96"/>
    <w:rsid w:val="00AF311C"/>
    <w:rsid w:val="00AF79E5"/>
    <w:rsid w:val="00B00873"/>
    <w:rsid w:val="00B012E4"/>
    <w:rsid w:val="00B03BC3"/>
    <w:rsid w:val="00B101FF"/>
    <w:rsid w:val="00B111F6"/>
    <w:rsid w:val="00B15809"/>
    <w:rsid w:val="00B16BDA"/>
    <w:rsid w:val="00B24F4A"/>
    <w:rsid w:val="00B31415"/>
    <w:rsid w:val="00B32F6F"/>
    <w:rsid w:val="00B349AE"/>
    <w:rsid w:val="00B35F3F"/>
    <w:rsid w:val="00B36E7B"/>
    <w:rsid w:val="00B47459"/>
    <w:rsid w:val="00B47D18"/>
    <w:rsid w:val="00B52EBC"/>
    <w:rsid w:val="00B565E1"/>
    <w:rsid w:val="00B611ED"/>
    <w:rsid w:val="00B639A5"/>
    <w:rsid w:val="00B650DE"/>
    <w:rsid w:val="00B66532"/>
    <w:rsid w:val="00B76813"/>
    <w:rsid w:val="00B864F3"/>
    <w:rsid w:val="00B91BA1"/>
    <w:rsid w:val="00BA00A7"/>
    <w:rsid w:val="00BA3A38"/>
    <w:rsid w:val="00BB01E2"/>
    <w:rsid w:val="00BB3E12"/>
    <w:rsid w:val="00BC458F"/>
    <w:rsid w:val="00BC6A42"/>
    <w:rsid w:val="00BC7A7C"/>
    <w:rsid w:val="00BE2C07"/>
    <w:rsid w:val="00BE2FCF"/>
    <w:rsid w:val="00BE3BD7"/>
    <w:rsid w:val="00BE4178"/>
    <w:rsid w:val="00BE4436"/>
    <w:rsid w:val="00BF0106"/>
    <w:rsid w:val="00BF0E89"/>
    <w:rsid w:val="00BF24C3"/>
    <w:rsid w:val="00BF5D31"/>
    <w:rsid w:val="00BF7466"/>
    <w:rsid w:val="00C00B95"/>
    <w:rsid w:val="00C03827"/>
    <w:rsid w:val="00C142A0"/>
    <w:rsid w:val="00C17151"/>
    <w:rsid w:val="00C20F5C"/>
    <w:rsid w:val="00C21065"/>
    <w:rsid w:val="00C23723"/>
    <w:rsid w:val="00C24442"/>
    <w:rsid w:val="00C24C7D"/>
    <w:rsid w:val="00C25240"/>
    <w:rsid w:val="00C31B58"/>
    <w:rsid w:val="00C37A02"/>
    <w:rsid w:val="00C40B54"/>
    <w:rsid w:val="00C44580"/>
    <w:rsid w:val="00C50293"/>
    <w:rsid w:val="00C504AA"/>
    <w:rsid w:val="00C51773"/>
    <w:rsid w:val="00C53851"/>
    <w:rsid w:val="00C6520C"/>
    <w:rsid w:val="00C703F7"/>
    <w:rsid w:val="00C75E34"/>
    <w:rsid w:val="00C775F0"/>
    <w:rsid w:val="00C829D6"/>
    <w:rsid w:val="00C92310"/>
    <w:rsid w:val="00CA3793"/>
    <w:rsid w:val="00CB0291"/>
    <w:rsid w:val="00CB3E3F"/>
    <w:rsid w:val="00CC0A80"/>
    <w:rsid w:val="00CC7EBF"/>
    <w:rsid w:val="00CD0932"/>
    <w:rsid w:val="00CD1373"/>
    <w:rsid w:val="00CD2AAC"/>
    <w:rsid w:val="00CD7259"/>
    <w:rsid w:val="00CE42B8"/>
    <w:rsid w:val="00CF4FC4"/>
    <w:rsid w:val="00CF5E35"/>
    <w:rsid w:val="00D01C5B"/>
    <w:rsid w:val="00D0378A"/>
    <w:rsid w:val="00D06D0A"/>
    <w:rsid w:val="00D13C69"/>
    <w:rsid w:val="00D140F7"/>
    <w:rsid w:val="00D37C7E"/>
    <w:rsid w:val="00D45500"/>
    <w:rsid w:val="00D50731"/>
    <w:rsid w:val="00D52074"/>
    <w:rsid w:val="00D52835"/>
    <w:rsid w:val="00D56320"/>
    <w:rsid w:val="00D57137"/>
    <w:rsid w:val="00D63198"/>
    <w:rsid w:val="00D67F4E"/>
    <w:rsid w:val="00D718DA"/>
    <w:rsid w:val="00D73D55"/>
    <w:rsid w:val="00D80E0B"/>
    <w:rsid w:val="00D84463"/>
    <w:rsid w:val="00D90524"/>
    <w:rsid w:val="00D9088A"/>
    <w:rsid w:val="00D917F4"/>
    <w:rsid w:val="00D93544"/>
    <w:rsid w:val="00D957B5"/>
    <w:rsid w:val="00D95C5E"/>
    <w:rsid w:val="00DA010B"/>
    <w:rsid w:val="00DA22F8"/>
    <w:rsid w:val="00DA5123"/>
    <w:rsid w:val="00DA5324"/>
    <w:rsid w:val="00DA5337"/>
    <w:rsid w:val="00DB06EC"/>
    <w:rsid w:val="00DB37BD"/>
    <w:rsid w:val="00DB6697"/>
    <w:rsid w:val="00DB6DD1"/>
    <w:rsid w:val="00DC0E6C"/>
    <w:rsid w:val="00DC35D7"/>
    <w:rsid w:val="00DD1021"/>
    <w:rsid w:val="00DD123E"/>
    <w:rsid w:val="00DD3E8A"/>
    <w:rsid w:val="00DE4A1F"/>
    <w:rsid w:val="00DF0718"/>
    <w:rsid w:val="00DF22C2"/>
    <w:rsid w:val="00DF31A2"/>
    <w:rsid w:val="00DF6282"/>
    <w:rsid w:val="00E01CF2"/>
    <w:rsid w:val="00E01EEF"/>
    <w:rsid w:val="00E01F30"/>
    <w:rsid w:val="00E076F8"/>
    <w:rsid w:val="00E1221A"/>
    <w:rsid w:val="00E14490"/>
    <w:rsid w:val="00E16664"/>
    <w:rsid w:val="00E16C84"/>
    <w:rsid w:val="00E21B2C"/>
    <w:rsid w:val="00E30E4E"/>
    <w:rsid w:val="00E31DAB"/>
    <w:rsid w:val="00E32DF5"/>
    <w:rsid w:val="00E34748"/>
    <w:rsid w:val="00E36D06"/>
    <w:rsid w:val="00E37DC7"/>
    <w:rsid w:val="00E40325"/>
    <w:rsid w:val="00E4126A"/>
    <w:rsid w:val="00E44A72"/>
    <w:rsid w:val="00E46CD3"/>
    <w:rsid w:val="00E629C1"/>
    <w:rsid w:val="00E7178C"/>
    <w:rsid w:val="00E85BA5"/>
    <w:rsid w:val="00E92E2F"/>
    <w:rsid w:val="00E94858"/>
    <w:rsid w:val="00EA1A09"/>
    <w:rsid w:val="00EB13DE"/>
    <w:rsid w:val="00EB156C"/>
    <w:rsid w:val="00EB3ECD"/>
    <w:rsid w:val="00EB7EFC"/>
    <w:rsid w:val="00EC113D"/>
    <w:rsid w:val="00EC44CF"/>
    <w:rsid w:val="00EC52D2"/>
    <w:rsid w:val="00EC6735"/>
    <w:rsid w:val="00ED1393"/>
    <w:rsid w:val="00EE27D6"/>
    <w:rsid w:val="00EE7552"/>
    <w:rsid w:val="00EF08B1"/>
    <w:rsid w:val="00EF3EA6"/>
    <w:rsid w:val="00EF6284"/>
    <w:rsid w:val="00F0113F"/>
    <w:rsid w:val="00F16012"/>
    <w:rsid w:val="00F2464B"/>
    <w:rsid w:val="00F25A3A"/>
    <w:rsid w:val="00F27498"/>
    <w:rsid w:val="00F32ADE"/>
    <w:rsid w:val="00F33293"/>
    <w:rsid w:val="00F35238"/>
    <w:rsid w:val="00F4079B"/>
    <w:rsid w:val="00F40D8F"/>
    <w:rsid w:val="00F47BD7"/>
    <w:rsid w:val="00F6298A"/>
    <w:rsid w:val="00F62E5E"/>
    <w:rsid w:val="00F669D5"/>
    <w:rsid w:val="00F67D4B"/>
    <w:rsid w:val="00F91F0F"/>
    <w:rsid w:val="00F95BFC"/>
    <w:rsid w:val="00F97BDC"/>
    <w:rsid w:val="00FA24CF"/>
    <w:rsid w:val="00FA7B01"/>
    <w:rsid w:val="00FB5CAD"/>
    <w:rsid w:val="00FB643A"/>
    <w:rsid w:val="00FB752F"/>
    <w:rsid w:val="00FC0BB0"/>
    <w:rsid w:val="00FC1CA8"/>
    <w:rsid w:val="00FC2FA4"/>
    <w:rsid w:val="00FC74DE"/>
    <w:rsid w:val="00FD113E"/>
    <w:rsid w:val="00FD277C"/>
    <w:rsid w:val="00FD6965"/>
    <w:rsid w:val="00FD7B18"/>
    <w:rsid w:val="00FE2B23"/>
    <w:rsid w:val="00FE5D9D"/>
    <w:rsid w:val="00FF42CA"/>
    <w:rsid w:val="00FF7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115"/>
    <w:pPr>
      <w:ind w:left="720"/>
      <w:contextualSpacing/>
    </w:pPr>
  </w:style>
  <w:style w:type="paragraph" w:styleId="a4">
    <w:name w:val="header"/>
    <w:basedOn w:val="a"/>
    <w:link w:val="a5"/>
    <w:uiPriority w:val="99"/>
    <w:unhideWhenUsed/>
    <w:rsid w:val="005041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4115"/>
  </w:style>
  <w:style w:type="paragraph" w:styleId="a6">
    <w:name w:val="footer"/>
    <w:basedOn w:val="a"/>
    <w:link w:val="a7"/>
    <w:uiPriority w:val="99"/>
    <w:unhideWhenUsed/>
    <w:rsid w:val="005041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4115"/>
  </w:style>
  <w:style w:type="paragraph" w:customStyle="1" w:styleId="ConsPlusNormal">
    <w:name w:val="ConsPlusNormal"/>
    <w:rsid w:val="00811663"/>
    <w:pPr>
      <w:autoSpaceDE w:val="0"/>
      <w:autoSpaceDN w:val="0"/>
      <w:adjustRightInd w:val="0"/>
      <w:spacing w:after="0" w:line="240" w:lineRule="auto"/>
    </w:pPr>
    <w:rPr>
      <w:rFonts w:ascii="Times New Roman" w:hAnsi="Times New Roman" w:cs="Times New Roman"/>
      <w:sz w:val="28"/>
      <w:szCs w:val="28"/>
    </w:rPr>
  </w:style>
  <w:style w:type="paragraph" w:styleId="a8">
    <w:name w:val="footnote text"/>
    <w:basedOn w:val="a"/>
    <w:link w:val="a9"/>
    <w:uiPriority w:val="99"/>
    <w:unhideWhenUsed/>
    <w:rsid w:val="00811663"/>
    <w:pPr>
      <w:spacing w:after="0" w:line="240" w:lineRule="auto"/>
    </w:pPr>
    <w:rPr>
      <w:sz w:val="20"/>
      <w:szCs w:val="20"/>
    </w:rPr>
  </w:style>
  <w:style w:type="character" w:customStyle="1" w:styleId="a9">
    <w:name w:val="Текст сноски Знак"/>
    <w:basedOn w:val="a0"/>
    <w:link w:val="a8"/>
    <w:uiPriority w:val="99"/>
    <w:rsid w:val="00811663"/>
    <w:rPr>
      <w:sz w:val="20"/>
      <w:szCs w:val="20"/>
    </w:rPr>
  </w:style>
  <w:style w:type="character" w:styleId="aa">
    <w:name w:val="footnote reference"/>
    <w:basedOn w:val="a0"/>
    <w:uiPriority w:val="99"/>
    <w:semiHidden/>
    <w:unhideWhenUsed/>
    <w:rsid w:val="00811663"/>
    <w:rPr>
      <w:vertAlign w:val="superscript"/>
    </w:rPr>
  </w:style>
  <w:style w:type="paragraph" w:styleId="ab">
    <w:name w:val="caption"/>
    <w:basedOn w:val="a"/>
    <w:next w:val="a"/>
    <w:uiPriority w:val="35"/>
    <w:unhideWhenUsed/>
    <w:qFormat/>
    <w:rsid w:val="003C10C5"/>
    <w:pPr>
      <w:spacing w:after="200" w:line="240" w:lineRule="auto"/>
    </w:pPr>
    <w:rPr>
      <w:i/>
      <w:iCs/>
      <w:color w:val="44546A" w:themeColor="text2"/>
      <w:sz w:val="18"/>
      <w:szCs w:val="18"/>
    </w:rPr>
  </w:style>
  <w:style w:type="table" w:customStyle="1" w:styleId="1">
    <w:name w:val="Сетка таблицы1"/>
    <w:basedOn w:val="a1"/>
    <w:next w:val="ac"/>
    <w:uiPriority w:val="39"/>
    <w:rsid w:val="00B52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39"/>
    <w:rsid w:val="00B52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E42D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E42DD"/>
    <w:rPr>
      <w:rFonts w:ascii="Segoe UI" w:hAnsi="Segoe UI" w:cs="Segoe UI"/>
      <w:sz w:val="18"/>
      <w:szCs w:val="18"/>
    </w:rPr>
  </w:style>
  <w:style w:type="paragraph" w:styleId="af">
    <w:name w:val="Normal (Web)"/>
    <w:basedOn w:val="a"/>
    <w:uiPriority w:val="99"/>
    <w:semiHidden/>
    <w:unhideWhenUsed/>
    <w:rsid w:val="008E787A"/>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0">
    <w:name w:val="Hyperlink"/>
    <w:basedOn w:val="a0"/>
    <w:uiPriority w:val="99"/>
    <w:unhideWhenUsed/>
    <w:rsid w:val="00617F72"/>
    <w:rPr>
      <w:color w:val="0563C1" w:themeColor="hyperlink"/>
      <w:u w:val="single"/>
    </w:rPr>
  </w:style>
  <w:style w:type="character" w:styleId="af1">
    <w:name w:val="annotation reference"/>
    <w:basedOn w:val="a0"/>
    <w:uiPriority w:val="99"/>
    <w:semiHidden/>
    <w:unhideWhenUsed/>
    <w:rsid w:val="00A83C49"/>
    <w:rPr>
      <w:sz w:val="16"/>
      <w:szCs w:val="16"/>
    </w:rPr>
  </w:style>
  <w:style w:type="paragraph" w:styleId="af2">
    <w:name w:val="annotation text"/>
    <w:basedOn w:val="a"/>
    <w:link w:val="af3"/>
    <w:uiPriority w:val="99"/>
    <w:semiHidden/>
    <w:unhideWhenUsed/>
    <w:rsid w:val="00A83C49"/>
    <w:pPr>
      <w:spacing w:line="240" w:lineRule="auto"/>
    </w:pPr>
    <w:rPr>
      <w:sz w:val="20"/>
      <w:szCs w:val="20"/>
    </w:rPr>
  </w:style>
  <w:style w:type="character" w:customStyle="1" w:styleId="af3">
    <w:name w:val="Текст примечания Знак"/>
    <w:basedOn w:val="a0"/>
    <w:link w:val="af2"/>
    <w:uiPriority w:val="99"/>
    <w:semiHidden/>
    <w:rsid w:val="00A83C49"/>
    <w:rPr>
      <w:sz w:val="20"/>
      <w:szCs w:val="20"/>
    </w:rPr>
  </w:style>
  <w:style w:type="paragraph" w:styleId="af4">
    <w:name w:val="annotation subject"/>
    <w:basedOn w:val="af2"/>
    <w:next w:val="af2"/>
    <w:link w:val="af5"/>
    <w:uiPriority w:val="99"/>
    <w:semiHidden/>
    <w:unhideWhenUsed/>
    <w:rsid w:val="00A83C49"/>
    <w:rPr>
      <w:b/>
      <w:bCs/>
    </w:rPr>
  </w:style>
  <w:style w:type="character" w:customStyle="1" w:styleId="af5">
    <w:name w:val="Тема примечания Знак"/>
    <w:basedOn w:val="af3"/>
    <w:link w:val="af4"/>
    <w:uiPriority w:val="99"/>
    <w:semiHidden/>
    <w:rsid w:val="00A83C49"/>
    <w:rPr>
      <w:b/>
      <w:bCs/>
    </w:rPr>
  </w:style>
</w:styles>
</file>

<file path=word/webSettings.xml><?xml version="1.0" encoding="utf-8"?>
<w:webSettings xmlns:r="http://schemas.openxmlformats.org/officeDocument/2006/relationships" xmlns:w="http://schemas.openxmlformats.org/wordprocessingml/2006/main">
  <w:divs>
    <w:div w:id="283771703">
      <w:bodyDiv w:val="1"/>
      <w:marLeft w:val="0"/>
      <w:marRight w:val="0"/>
      <w:marTop w:val="0"/>
      <w:marBottom w:val="0"/>
      <w:divBdr>
        <w:top w:val="none" w:sz="0" w:space="0" w:color="auto"/>
        <w:left w:val="none" w:sz="0" w:space="0" w:color="auto"/>
        <w:bottom w:val="none" w:sz="0" w:space="0" w:color="auto"/>
        <w:right w:val="none" w:sz="0" w:space="0" w:color="auto"/>
      </w:divBdr>
    </w:div>
    <w:div w:id="971596547">
      <w:bodyDiv w:val="1"/>
      <w:marLeft w:val="0"/>
      <w:marRight w:val="0"/>
      <w:marTop w:val="0"/>
      <w:marBottom w:val="0"/>
      <w:divBdr>
        <w:top w:val="none" w:sz="0" w:space="0" w:color="auto"/>
        <w:left w:val="none" w:sz="0" w:space="0" w:color="auto"/>
        <w:bottom w:val="none" w:sz="0" w:space="0" w:color="auto"/>
        <w:right w:val="none" w:sz="0" w:space="0" w:color="auto"/>
      </w:divBdr>
    </w:div>
    <w:div w:id="128196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pi.com/2071-1050/11/20/5604/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B1F6B-4FA9-4DB2-BE9A-54FAE277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5166</Words>
  <Characters>29449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WS001</Company>
  <LinksUpToDate>false</LinksUpToDate>
  <CharactersWithSpaces>34546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Красинский Владислав Вячеславович</dc:creator>
  <cp:lastModifiedBy>1</cp:lastModifiedBy>
  <cp:revision>3</cp:revision>
  <cp:lastPrinted>2020-09-14T11:49:00Z</cp:lastPrinted>
  <dcterms:created xsi:type="dcterms:W3CDTF">2021-12-03T19:57:00Z</dcterms:created>
  <dcterms:modified xsi:type="dcterms:W3CDTF">2021-12-03T20:07:00Z</dcterms:modified>
</cp:coreProperties>
</file>